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val="0"/>
        <w:spacing w:line="240" w:lineRule="auto"/>
        <w:ind w:left="0" w:leftChars="0" w:firstLine="511" w:firstLineChars="116"/>
        <w:jc w:val="center"/>
        <w:textAlignment w:val="auto"/>
        <w:outlineLvl w:val="9"/>
        <w:rPr>
          <w:rFonts w:hint="eastAsia" w:ascii="方正仿宋简体" w:hAnsi="方正仿宋简体" w:eastAsia="方正仿宋简体" w:cs="方正仿宋简体"/>
          <w:b/>
          <w:bCs/>
          <w:color w:val="000000"/>
          <w:sz w:val="44"/>
          <w:szCs w:val="44"/>
          <w:lang w:val="en-US" w:eastAsia="zh-CN"/>
        </w:rPr>
      </w:pPr>
      <w:r>
        <w:rPr>
          <w:rFonts w:hint="eastAsia" w:ascii="方正仿宋简体" w:hAnsi="方正仿宋简体" w:eastAsia="方正仿宋简体" w:cs="方正仿宋简体"/>
          <w:b/>
          <w:bCs/>
          <w:color w:val="000000"/>
          <w:sz w:val="44"/>
          <w:szCs w:val="44"/>
          <w:lang w:eastAsia="zh-CN"/>
        </w:rPr>
        <w:t>牟定县农业农村局</w:t>
      </w:r>
      <w:r>
        <w:rPr>
          <w:rFonts w:hint="eastAsia" w:ascii="方正仿宋简体" w:hAnsi="方正仿宋简体" w:eastAsia="方正仿宋简体" w:cs="方正仿宋简体"/>
          <w:b/>
          <w:bCs/>
          <w:color w:val="000000"/>
          <w:sz w:val="44"/>
          <w:szCs w:val="44"/>
          <w:lang w:val="en-US" w:eastAsia="zh-CN"/>
        </w:rPr>
        <w:t>2021年春秋季动物防疫</w:t>
      </w:r>
    </w:p>
    <w:p>
      <w:pPr>
        <w:keepNext w:val="0"/>
        <w:keepLines w:val="0"/>
        <w:pageBreakBefore w:val="0"/>
        <w:numPr>
          <w:ilvl w:val="0"/>
          <w:numId w:val="0"/>
        </w:numPr>
        <w:kinsoku/>
        <w:wordWrap/>
        <w:overflowPunct/>
        <w:topLinePunct w:val="0"/>
        <w:autoSpaceDE/>
        <w:autoSpaceDN/>
        <w:bidi w:val="0"/>
        <w:adjustRightInd/>
        <w:snapToGrid w:val="0"/>
        <w:spacing w:line="240" w:lineRule="auto"/>
        <w:ind w:left="0" w:leftChars="0" w:firstLine="511" w:firstLineChars="116"/>
        <w:jc w:val="center"/>
        <w:textAlignment w:val="auto"/>
        <w:outlineLvl w:val="9"/>
        <w:rPr>
          <w:rFonts w:hint="eastAsia" w:ascii="方正仿宋简体" w:hAnsi="方正仿宋简体" w:eastAsia="方正仿宋简体" w:cs="方正仿宋简体"/>
          <w:b/>
          <w:bCs/>
          <w:color w:val="000000"/>
          <w:sz w:val="36"/>
          <w:szCs w:val="36"/>
          <w:lang w:eastAsia="zh-CN"/>
        </w:rPr>
      </w:pPr>
      <w:r>
        <w:rPr>
          <w:rFonts w:hint="eastAsia" w:ascii="方正仿宋简体" w:hAnsi="方正仿宋简体" w:eastAsia="方正仿宋简体" w:cs="方正仿宋简体"/>
          <w:b/>
          <w:bCs/>
          <w:color w:val="000000"/>
          <w:sz w:val="44"/>
          <w:szCs w:val="44"/>
          <w:lang w:val="en-US" w:eastAsia="zh-CN"/>
        </w:rPr>
        <w:t>疫苗采购</w:t>
      </w:r>
      <w:r>
        <w:rPr>
          <w:rFonts w:hint="eastAsia" w:ascii="方正仿宋简体" w:hAnsi="方正仿宋简体" w:eastAsia="方正仿宋简体" w:cs="方正仿宋简体"/>
          <w:b/>
          <w:bCs/>
          <w:color w:val="000000"/>
          <w:sz w:val="44"/>
          <w:szCs w:val="44"/>
          <w:lang w:eastAsia="zh-CN"/>
        </w:rPr>
        <w:t>项目（</w:t>
      </w:r>
      <w:r>
        <w:rPr>
          <w:rFonts w:hint="eastAsia" w:ascii="方正仿宋简体" w:hAnsi="方正仿宋简体" w:eastAsia="方正仿宋简体" w:cs="方正仿宋简体"/>
          <w:b/>
          <w:bCs/>
          <w:color w:val="000000"/>
          <w:sz w:val="44"/>
          <w:szCs w:val="44"/>
          <w:lang w:val="en-US" w:eastAsia="zh-CN"/>
        </w:rPr>
        <w:t>A包、B包</w:t>
      </w:r>
      <w:r>
        <w:rPr>
          <w:rFonts w:hint="eastAsia" w:ascii="方正仿宋简体" w:hAnsi="方正仿宋简体" w:eastAsia="方正仿宋简体" w:cs="方正仿宋简体"/>
          <w:b/>
          <w:bCs/>
          <w:color w:val="000000"/>
          <w:sz w:val="44"/>
          <w:szCs w:val="44"/>
          <w:lang w:eastAsia="zh-CN"/>
        </w:rPr>
        <w:t>）</w:t>
      </w:r>
    </w:p>
    <w:p>
      <w:pPr>
        <w:pStyle w:val="7"/>
        <w:spacing w:line="360" w:lineRule="auto"/>
        <w:jc w:val="both"/>
        <w:rPr>
          <w:rFonts w:ascii="华文中宋" w:hAnsi="华文中宋" w:eastAsia="华文中宋"/>
          <w:b/>
          <w:bCs/>
          <w:sz w:val="52"/>
          <w:szCs w:val="52"/>
        </w:rPr>
      </w:pPr>
    </w:p>
    <w:p>
      <w:pPr>
        <w:pStyle w:val="7"/>
        <w:spacing w:line="360" w:lineRule="auto"/>
        <w:jc w:val="both"/>
        <w:rPr>
          <w:rFonts w:ascii="华文中宋" w:hAnsi="华文中宋" w:eastAsia="华文中宋"/>
          <w:b/>
          <w:bCs/>
          <w:sz w:val="52"/>
          <w:szCs w:val="52"/>
        </w:rPr>
      </w:pPr>
    </w:p>
    <w:p>
      <w:pPr>
        <w:pStyle w:val="7"/>
        <w:spacing w:line="360" w:lineRule="auto"/>
        <w:jc w:val="center"/>
        <w:rPr>
          <w:rFonts w:hint="eastAsia" w:ascii="方正仿宋简体" w:hAnsi="方正仿宋简体" w:eastAsia="方正仿宋简体" w:cs="方正仿宋简体"/>
          <w:b/>
          <w:bCs/>
          <w:color w:val="000000" w:themeColor="text1"/>
          <w:kern w:val="2"/>
          <w:sz w:val="52"/>
          <w:szCs w:val="52"/>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72"/>
          <w:szCs w:val="72"/>
          <w:lang w:val="en-US" w:eastAsia="zh-CN" w:bidi="ar-SA"/>
          <w14:textFill>
            <w14:solidFill>
              <w14:schemeClr w14:val="tx1"/>
            </w14:solidFill>
          </w14:textFill>
        </w:rPr>
        <w:t>招  标  文  件</w:t>
      </w:r>
    </w:p>
    <w:p>
      <w:pPr>
        <w:pStyle w:val="7"/>
        <w:spacing w:line="360" w:lineRule="auto"/>
        <w:jc w:val="cente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项目编号：</w:t>
      </w:r>
      <w:r>
        <w:rPr>
          <w:rFonts w:hint="eastAsia" w:ascii="方正仿宋简体" w:hAnsi="方正仿宋简体" w:eastAsia="方正仿宋简体" w:cs="方正仿宋简体"/>
          <w:b w:val="0"/>
          <w:bCs w:val="0"/>
          <w:color w:val="000000"/>
          <w:sz w:val="21"/>
          <w:szCs w:val="21"/>
          <w:lang w:val="en-US" w:eastAsia="zh-CN"/>
        </w:rPr>
        <w:t>4532323JH202100011</w:t>
      </w:r>
    </w:p>
    <w:p>
      <w:pPr>
        <w:widowControl/>
        <w:spacing w:line="360" w:lineRule="auto"/>
        <w:ind w:firstLine="452" w:firstLineChars="150"/>
        <w:rPr>
          <w:rFonts w:ascii="华文中宋" w:hAnsi="华文中宋" w:eastAsia="华文中宋" w:cs="Times New Roman"/>
          <w:b/>
          <w:bCs/>
          <w:sz w:val="30"/>
          <w:szCs w:val="30"/>
        </w:rPr>
      </w:pPr>
    </w:p>
    <w:p>
      <w:pPr>
        <w:widowControl/>
        <w:spacing w:line="360" w:lineRule="auto"/>
        <w:ind w:firstLine="1121" w:firstLineChars="400"/>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t>采   购  人：牟定县农业农村局</w:t>
      </w:r>
    </w:p>
    <w:p>
      <w:pPr>
        <w:widowControl/>
        <w:spacing w:line="360" w:lineRule="auto"/>
        <w:ind w:firstLine="420" w:firstLineChars="150"/>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pPr>
    </w:p>
    <w:p>
      <w:pPr>
        <w:widowControl/>
        <w:spacing w:line="360" w:lineRule="auto"/>
        <w:ind w:firstLine="1121" w:firstLineChars="400"/>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t>采购代理机构：云南诚昱招标代理有限公司</w:t>
      </w:r>
    </w:p>
    <w:p>
      <w:pPr>
        <w:widowControl/>
        <w:spacing w:line="360" w:lineRule="auto"/>
        <w:ind w:firstLine="562" w:firstLineChars="200"/>
        <w:rPr>
          <w:rFonts w:ascii="华文中宋" w:hAnsi="华文中宋" w:eastAsia="华文中宋" w:cs="Times New Roman"/>
          <w:b/>
          <w:bCs/>
          <w:sz w:val="28"/>
          <w:szCs w:val="28"/>
        </w:rPr>
      </w:pPr>
    </w:p>
    <w:p>
      <w:pPr>
        <w:widowControl/>
        <w:spacing w:line="360" w:lineRule="auto"/>
        <w:ind w:firstLine="2241" w:firstLineChars="800"/>
        <w:jc w:val="both"/>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t>时间：二〇二一年一月</w:t>
      </w:r>
    </w:p>
    <w:p>
      <w:pPr>
        <w:pStyle w:val="39"/>
        <w:jc w:val="center"/>
        <w:rPr>
          <w:rFonts w:eastAsia="宋体" w:asciiTheme="minorHAnsi" w:hAnsiTheme="minorHAnsi" w:cstheme="minorBidi"/>
          <w:b w:val="0"/>
          <w:bCs w:val="0"/>
          <w:color w:val="auto"/>
          <w:kern w:val="2"/>
          <w:sz w:val="24"/>
          <w:szCs w:val="22"/>
          <w:lang w:val="zh-CN"/>
        </w:rPr>
      </w:pPr>
    </w:p>
    <w:p>
      <w:pPr>
        <w:rPr>
          <w:rFonts w:eastAsia="宋体" w:asciiTheme="minorHAnsi" w:hAnsiTheme="minorHAnsi" w:cstheme="minorBidi"/>
          <w:b w:val="0"/>
          <w:bCs w:val="0"/>
          <w:color w:val="auto"/>
          <w:kern w:val="2"/>
          <w:sz w:val="24"/>
          <w:szCs w:val="22"/>
          <w:lang w:val="zh-CN"/>
        </w:rPr>
      </w:pPr>
    </w:p>
    <w:p>
      <w:pPr>
        <w:pStyle w:val="2"/>
        <w:rPr>
          <w:lang w:val="zh-CN"/>
        </w:rPr>
      </w:pPr>
    </w:p>
    <w:sdt>
      <w:sdtPr>
        <w:rPr>
          <w:rFonts w:eastAsia="宋体" w:asciiTheme="minorHAnsi" w:hAnsiTheme="minorHAnsi" w:cstheme="minorBidi"/>
          <w:b w:val="0"/>
          <w:bCs w:val="0"/>
          <w:color w:val="auto"/>
          <w:kern w:val="2"/>
          <w:sz w:val="24"/>
          <w:szCs w:val="22"/>
          <w:lang w:val="zh-CN"/>
        </w:rPr>
        <w:id w:val="-1134787563"/>
        <w:docPartObj>
          <w:docPartGallery w:val="Table of Contents"/>
          <w:docPartUnique/>
        </w:docPartObj>
      </w:sdtPr>
      <w:sdtEndPr>
        <w:rPr>
          <w:rFonts w:eastAsia="宋体" w:asciiTheme="minorHAnsi" w:hAnsiTheme="minorHAnsi" w:cstheme="minorBidi"/>
          <w:b w:val="0"/>
          <w:bCs w:val="0"/>
          <w:color w:val="auto"/>
          <w:kern w:val="2"/>
          <w:sz w:val="24"/>
          <w:szCs w:val="22"/>
          <w:lang w:val="en-US"/>
        </w:rPr>
      </w:sdtEndPr>
      <w:sdtContent>
        <w:p>
          <w:pPr>
            <w:pStyle w:val="39"/>
            <w:jc w:val="cente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bookmarkStart w:id="0" w:name="_Toc485916402"/>
          <w:r>
            <w:rPr>
              <w:rFonts w:hint="eastAsia" w:ascii="方正仿宋简体" w:hAnsi="方正仿宋简体" w:eastAsia="方正仿宋简体" w:cs="方正仿宋简体"/>
              <w:b/>
              <w:bCs/>
              <w:color w:val="000000" w:themeColor="text1"/>
              <w:kern w:val="2"/>
              <w:sz w:val="28"/>
              <w:szCs w:val="28"/>
              <w:lang w:val="zh-CN" w:eastAsia="zh-CN" w:bidi="ar-SA"/>
              <w14:textFill>
                <w14:solidFill>
                  <w14:schemeClr w14:val="tx1"/>
                </w14:solidFill>
              </w14:textFill>
            </w:rPr>
            <w:t>目</w:t>
          </w:r>
          <w:r>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t xml:space="preserve">  </w:t>
          </w:r>
          <w:r>
            <w:rPr>
              <w:rFonts w:hint="eastAsia" w:ascii="方正仿宋简体" w:hAnsi="方正仿宋简体" w:eastAsia="方正仿宋简体" w:cs="方正仿宋简体"/>
              <w:b/>
              <w:bCs/>
              <w:color w:val="000000" w:themeColor="text1"/>
              <w:kern w:val="2"/>
              <w:sz w:val="28"/>
              <w:szCs w:val="28"/>
              <w:lang w:val="zh-CN" w:eastAsia="zh-CN" w:bidi="ar-SA"/>
              <w14:textFill>
                <w14:solidFill>
                  <w14:schemeClr w14:val="tx1"/>
                </w14:solidFill>
              </w14:textFill>
            </w:rPr>
            <w:t>录</w:t>
          </w:r>
        </w:p>
        <w:p>
          <w:pPr>
            <w:pStyle w:val="12"/>
            <w:tabs>
              <w:tab w:val="right" w:leader="dot" w:pos="9600"/>
            </w:tabs>
          </w:pPr>
          <w:r>
            <w:rPr>
              <w:rFonts w:ascii="微软雅黑" w:hAnsi="微软雅黑" w:eastAsia="微软雅黑"/>
              <w:szCs w:val="24"/>
            </w:rPr>
            <w:fldChar w:fldCharType="begin"/>
          </w:r>
          <w:r>
            <w:rPr>
              <w:rFonts w:ascii="微软雅黑" w:hAnsi="微软雅黑" w:eastAsia="微软雅黑"/>
              <w:szCs w:val="24"/>
            </w:rPr>
            <w:instrText xml:space="preserve"> TOC \o "1-3" \h \z \u </w:instrText>
          </w:r>
          <w:r>
            <w:rPr>
              <w:rFonts w:ascii="微软雅黑" w:hAnsi="微软雅黑" w:eastAsia="微软雅黑"/>
              <w:szCs w:val="24"/>
            </w:rPr>
            <w:fldChar w:fldCharType="separate"/>
          </w:r>
          <w:r>
            <w:rPr>
              <w:rFonts w:ascii="微软雅黑" w:hAnsi="微软雅黑" w:eastAsia="微软雅黑"/>
              <w:szCs w:val="24"/>
            </w:rPr>
            <w:fldChar w:fldCharType="begin"/>
          </w:r>
          <w:r>
            <w:rPr>
              <w:rFonts w:ascii="微软雅黑" w:hAnsi="微软雅黑" w:eastAsia="微软雅黑"/>
              <w:szCs w:val="24"/>
            </w:rPr>
            <w:instrText xml:space="preserve"> HYPERLINK \l _Toc9165 </w:instrText>
          </w:r>
          <w:r>
            <w:rPr>
              <w:rFonts w:ascii="微软雅黑" w:hAnsi="微软雅黑" w:eastAsia="微软雅黑"/>
              <w:szCs w:val="24"/>
            </w:rPr>
            <w:fldChar w:fldCharType="separate"/>
          </w:r>
          <w:r>
            <w:rPr>
              <w:rFonts w:hint="eastAsia" w:ascii="方正仿宋简体" w:hAnsi="方正仿宋简体" w:eastAsia="方正仿宋简体" w:cs="方正仿宋简体"/>
              <w:bCs/>
              <w:kern w:val="2"/>
              <w:szCs w:val="30"/>
              <w:lang w:val="en-US" w:eastAsia="zh-CN" w:bidi="ar-SA"/>
            </w:rPr>
            <w:t>第一章 招标公告</w:t>
          </w:r>
          <w:r>
            <w:tab/>
          </w:r>
          <w:r>
            <w:fldChar w:fldCharType="begin"/>
          </w:r>
          <w:r>
            <w:instrText xml:space="preserve"> PAGEREF _Toc9165 </w:instrText>
          </w:r>
          <w:r>
            <w:fldChar w:fldCharType="separate"/>
          </w:r>
          <w:r>
            <w:t>1</w:t>
          </w:r>
          <w:r>
            <w:fldChar w:fldCharType="end"/>
          </w:r>
          <w:r>
            <w:rPr>
              <w:rFonts w:ascii="微软雅黑" w:hAnsi="微软雅黑" w:eastAsia="微软雅黑"/>
              <w:szCs w:val="24"/>
            </w:rPr>
            <w:fldChar w:fldCharType="end"/>
          </w:r>
        </w:p>
        <w:p>
          <w:pPr>
            <w:pStyle w:val="12"/>
            <w:tabs>
              <w:tab w:val="right" w:leader="dot" w:pos="9600"/>
            </w:tabs>
          </w:pPr>
          <w:r>
            <w:rPr>
              <w:rFonts w:ascii="微软雅黑" w:hAnsi="微软雅黑" w:eastAsia="微软雅黑"/>
              <w:szCs w:val="24"/>
            </w:rPr>
            <w:fldChar w:fldCharType="begin"/>
          </w:r>
          <w:r>
            <w:rPr>
              <w:rFonts w:ascii="微软雅黑" w:hAnsi="微软雅黑" w:eastAsia="微软雅黑"/>
              <w:szCs w:val="24"/>
            </w:rPr>
            <w:instrText xml:space="preserve"> HYPERLINK \l _Toc1885 </w:instrText>
          </w:r>
          <w:r>
            <w:rPr>
              <w:rFonts w:ascii="微软雅黑" w:hAnsi="微软雅黑" w:eastAsia="微软雅黑"/>
              <w:szCs w:val="24"/>
            </w:rPr>
            <w:fldChar w:fldCharType="separate"/>
          </w:r>
          <w:r>
            <w:rPr>
              <w:rFonts w:hint="eastAsia" w:ascii="方正仿宋简体" w:hAnsi="方正仿宋简体" w:eastAsia="方正仿宋简体" w:cs="方正仿宋简体"/>
              <w:bCs/>
              <w:kern w:val="2"/>
              <w:szCs w:val="30"/>
              <w:lang w:val="en-US" w:eastAsia="zh-CN" w:bidi="ar-SA"/>
            </w:rPr>
            <w:t>第二章 投标人须知</w:t>
          </w:r>
          <w:r>
            <w:tab/>
          </w:r>
          <w:r>
            <w:fldChar w:fldCharType="begin"/>
          </w:r>
          <w:r>
            <w:instrText xml:space="preserve"> PAGEREF _Toc1885 </w:instrText>
          </w:r>
          <w:r>
            <w:fldChar w:fldCharType="separate"/>
          </w:r>
          <w:r>
            <w:t>5</w:t>
          </w:r>
          <w:r>
            <w:fldChar w:fldCharType="end"/>
          </w:r>
          <w:r>
            <w:rPr>
              <w:rFonts w:ascii="微软雅黑" w:hAnsi="微软雅黑" w:eastAsia="微软雅黑"/>
              <w:szCs w:val="24"/>
            </w:rPr>
            <w:fldChar w:fldCharType="end"/>
          </w:r>
        </w:p>
        <w:p>
          <w:pPr>
            <w:pStyle w:val="12"/>
            <w:tabs>
              <w:tab w:val="right" w:leader="dot" w:pos="9600"/>
            </w:tabs>
          </w:pPr>
          <w:r>
            <w:rPr>
              <w:rFonts w:ascii="微软雅黑" w:hAnsi="微软雅黑" w:eastAsia="微软雅黑"/>
              <w:szCs w:val="24"/>
            </w:rPr>
            <w:fldChar w:fldCharType="begin"/>
          </w:r>
          <w:r>
            <w:rPr>
              <w:rFonts w:ascii="微软雅黑" w:hAnsi="微软雅黑" w:eastAsia="微软雅黑"/>
              <w:szCs w:val="24"/>
            </w:rPr>
            <w:instrText xml:space="preserve"> HYPERLINK \l _Toc30637 </w:instrText>
          </w:r>
          <w:r>
            <w:rPr>
              <w:rFonts w:ascii="微软雅黑" w:hAnsi="微软雅黑" w:eastAsia="微软雅黑"/>
              <w:szCs w:val="24"/>
            </w:rPr>
            <w:fldChar w:fldCharType="separate"/>
          </w:r>
          <w:r>
            <w:rPr>
              <w:rFonts w:hint="eastAsia" w:ascii="方正仿宋简体" w:hAnsi="方正仿宋简体" w:eastAsia="方正仿宋简体" w:cs="方正仿宋简体"/>
              <w:bCs/>
              <w:kern w:val="2"/>
              <w:szCs w:val="32"/>
              <w:lang w:val="en-US" w:eastAsia="zh-CN" w:bidi="ar-SA"/>
            </w:rPr>
            <w:t>第三章 评审办法（综合评分法）</w:t>
          </w:r>
          <w:r>
            <w:tab/>
          </w:r>
          <w:r>
            <w:fldChar w:fldCharType="begin"/>
          </w:r>
          <w:r>
            <w:instrText xml:space="preserve"> PAGEREF _Toc30637 </w:instrText>
          </w:r>
          <w:r>
            <w:fldChar w:fldCharType="separate"/>
          </w:r>
          <w:r>
            <w:t>24</w:t>
          </w:r>
          <w:r>
            <w:fldChar w:fldCharType="end"/>
          </w:r>
          <w:r>
            <w:rPr>
              <w:rFonts w:ascii="微软雅黑" w:hAnsi="微软雅黑" w:eastAsia="微软雅黑"/>
              <w:szCs w:val="24"/>
            </w:rPr>
            <w:fldChar w:fldCharType="end"/>
          </w:r>
        </w:p>
        <w:p>
          <w:pPr>
            <w:pStyle w:val="12"/>
            <w:tabs>
              <w:tab w:val="right" w:leader="dot" w:pos="9600"/>
            </w:tabs>
          </w:pPr>
          <w:r>
            <w:rPr>
              <w:rFonts w:ascii="微软雅黑" w:hAnsi="微软雅黑" w:eastAsia="微软雅黑"/>
              <w:szCs w:val="24"/>
            </w:rPr>
            <w:fldChar w:fldCharType="begin"/>
          </w:r>
          <w:r>
            <w:rPr>
              <w:rFonts w:ascii="微软雅黑" w:hAnsi="微软雅黑" w:eastAsia="微软雅黑"/>
              <w:szCs w:val="24"/>
            </w:rPr>
            <w:instrText xml:space="preserve"> HYPERLINK \l _Toc26241 </w:instrText>
          </w:r>
          <w:r>
            <w:rPr>
              <w:rFonts w:ascii="微软雅黑" w:hAnsi="微软雅黑" w:eastAsia="微软雅黑"/>
              <w:szCs w:val="24"/>
            </w:rPr>
            <w:fldChar w:fldCharType="separate"/>
          </w:r>
          <w:r>
            <w:rPr>
              <w:rFonts w:hint="eastAsia" w:ascii="方正仿宋简体" w:hAnsi="方正仿宋简体" w:eastAsia="方正仿宋简体" w:cs="方正仿宋简体"/>
              <w:bCs/>
              <w:kern w:val="2"/>
              <w:szCs w:val="30"/>
              <w:lang w:val="en-US" w:eastAsia="zh-CN" w:bidi="ar-SA"/>
            </w:rPr>
            <w:t>第四章 投标文件格式</w:t>
          </w:r>
          <w:r>
            <w:tab/>
          </w:r>
          <w:r>
            <w:fldChar w:fldCharType="begin"/>
          </w:r>
          <w:r>
            <w:instrText xml:space="preserve"> PAGEREF _Toc26241 </w:instrText>
          </w:r>
          <w:r>
            <w:fldChar w:fldCharType="separate"/>
          </w:r>
          <w:r>
            <w:t>30</w:t>
          </w:r>
          <w:r>
            <w:fldChar w:fldCharType="end"/>
          </w:r>
          <w:r>
            <w:rPr>
              <w:rFonts w:ascii="微软雅黑" w:hAnsi="微软雅黑" w:eastAsia="微软雅黑"/>
              <w:szCs w:val="24"/>
            </w:rPr>
            <w:fldChar w:fldCharType="end"/>
          </w:r>
        </w:p>
        <w:p>
          <w:pPr>
            <w:pStyle w:val="12"/>
            <w:tabs>
              <w:tab w:val="right" w:leader="dot" w:pos="9600"/>
            </w:tabs>
          </w:pPr>
          <w:r>
            <w:rPr>
              <w:rFonts w:ascii="微软雅黑" w:hAnsi="微软雅黑" w:eastAsia="微软雅黑"/>
              <w:szCs w:val="24"/>
            </w:rPr>
            <w:fldChar w:fldCharType="begin"/>
          </w:r>
          <w:r>
            <w:rPr>
              <w:rFonts w:ascii="微软雅黑" w:hAnsi="微软雅黑" w:eastAsia="微软雅黑"/>
              <w:szCs w:val="24"/>
            </w:rPr>
            <w:instrText xml:space="preserve"> HYPERLINK \l _Toc25233 </w:instrText>
          </w:r>
          <w:r>
            <w:rPr>
              <w:rFonts w:ascii="微软雅黑" w:hAnsi="微软雅黑" w:eastAsia="微软雅黑"/>
              <w:szCs w:val="24"/>
            </w:rPr>
            <w:fldChar w:fldCharType="separate"/>
          </w:r>
          <w:r>
            <w:rPr>
              <w:rFonts w:hint="eastAsia" w:ascii="方正仿宋简体" w:hAnsi="方正仿宋简体" w:eastAsia="方正仿宋简体" w:cs="方正仿宋简体"/>
              <w:bCs w:val="0"/>
              <w:kern w:val="2"/>
              <w:szCs w:val="32"/>
              <w:lang w:val="en-US" w:eastAsia="zh-CN" w:bidi="ar-SA"/>
            </w:rPr>
            <w:t>第五章 合同条款及格式</w:t>
          </w:r>
          <w:r>
            <w:tab/>
          </w:r>
          <w:r>
            <w:fldChar w:fldCharType="begin"/>
          </w:r>
          <w:r>
            <w:instrText xml:space="preserve"> PAGEREF _Toc25233 </w:instrText>
          </w:r>
          <w:r>
            <w:fldChar w:fldCharType="separate"/>
          </w:r>
          <w:r>
            <w:t>53</w:t>
          </w:r>
          <w:r>
            <w:fldChar w:fldCharType="end"/>
          </w:r>
          <w:r>
            <w:rPr>
              <w:rFonts w:ascii="微软雅黑" w:hAnsi="微软雅黑" w:eastAsia="微软雅黑"/>
              <w:szCs w:val="24"/>
            </w:rPr>
            <w:fldChar w:fldCharType="end"/>
          </w:r>
        </w:p>
        <w:p>
          <w:pPr>
            <w:pStyle w:val="12"/>
            <w:tabs>
              <w:tab w:val="right" w:leader="dot" w:pos="9600"/>
            </w:tabs>
          </w:pPr>
          <w:r>
            <w:rPr>
              <w:rFonts w:ascii="微软雅黑" w:hAnsi="微软雅黑" w:eastAsia="微软雅黑"/>
              <w:szCs w:val="24"/>
            </w:rPr>
            <w:fldChar w:fldCharType="begin"/>
          </w:r>
          <w:r>
            <w:rPr>
              <w:rFonts w:ascii="微软雅黑" w:hAnsi="微软雅黑" w:eastAsia="微软雅黑"/>
              <w:szCs w:val="24"/>
            </w:rPr>
            <w:instrText xml:space="preserve"> HYPERLINK \l _Toc27237 </w:instrText>
          </w:r>
          <w:r>
            <w:rPr>
              <w:rFonts w:ascii="微软雅黑" w:hAnsi="微软雅黑" w:eastAsia="微软雅黑"/>
              <w:szCs w:val="24"/>
            </w:rPr>
            <w:fldChar w:fldCharType="separate"/>
          </w:r>
          <w:r>
            <w:rPr>
              <w:rFonts w:hint="eastAsia" w:ascii="方正仿宋简体" w:hAnsi="方正仿宋简体" w:eastAsia="方正仿宋简体" w:cs="方正仿宋简体"/>
              <w:bCs/>
              <w:kern w:val="2"/>
              <w:szCs w:val="32"/>
              <w:lang w:val="en-US" w:eastAsia="zh-CN" w:bidi="ar-SA"/>
            </w:rPr>
            <w:t>第六章 采购需求</w:t>
          </w:r>
          <w:r>
            <w:tab/>
          </w:r>
          <w:r>
            <w:fldChar w:fldCharType="begin"/>
          </w:r>
          <w:r>
            <w:instrText xml:space="preserve"> PAGEREF _Toc27237 </w:instrText>
          </w:r>
          <w:r>
            <w:fldChar w:fldCharType="separate"/>
          </w:r>
          <w:r>
            <w:t>59</w:t>
          </w:r>
          <w:r>
            <w:fldChar w:fldCharType="end"/>
          </w:r>
          <w:r>
            <w:rPr>
              <w:rFonts w:ascii="微软雅黑" w:hAnsi="微软雅黑" w:eastAsia="微软雅黑"/>
              <w:szCs w:val="24"/>
            </w:rPr>
            <w:fldChar w:fldCharType="end"/>
          </w:r>
        </w:p>
        <w:p>
          <w:r>
            <w:rPr>
              <w:rFonts w:ascii="微软雅黑" w:hAnsi="微软雅黑" w:eastAsia="微软雅黑"/>
              <w:szCs w:val="24"/>
            </w:rPr>
            <w:fldChar w:fldCharType="end"/>
          </w:r>
        </w:p>
      </w:sdtContent>
    </w:sdt>
    <w:p>
      <w:pPr>
        <w:pStyle w:val="3"/>
        <w:rPr>
          <w:rFonts w:hint="eastAsia" w:ascii="方正仿宋简体" w:hAnsi="方正仿宋简体" w:eastAsia="方正仿宋简体" w:cs="方正仿宋简体"/>
          <w:b/>
          <w:bCs/>
          <w:color w:val="000000" w:themeColor="text1"/>
          <w:kern w:val="2"/>
          <w:sz w:val="30"/>
          <w:szCs w:val="30"/>
          <w:lang w:val="en-US" w:eastAsia="zh-CN" w:bidi="ar-SA"/>
          <w14:textFill>
            <w14:solidFill>
              <w14:schemeClr w14:val="tx1"/>
            </w14:solidFill>
          </w14:textFill>
        </w:rPr>
        <w:sectPr>
          <w:pgSz w:w="12240" w:h="15840"/>
          <w:pgMar w:top="1440" w:right="1080" w:bottom="1440" w:left="1560" w:header="720" w:footer="720" w:gutter="0"/>
          <w:cols w:space="720" w:num="1"/>
        </w:sectPr>
      </w:pPr>
      <w:bookmarkStart w:id="1" w:name="_Toc30514548"/>
      <w:bookmarkStart w:id="2" w:name="_Toc30599762"/>
    </w:p>
    <w:p>
      <w:pPr>
        <w:pStyle w:val="3"/>
        <w:rPr>
          <w:rFonts w:ascii="华文中宋" w:hAnsi="华文中宋" w:eastAsia="华文中宋"/>
          <w:sz w:val="36"/>
          <w:szCs w:val="36"/>
        </w:rPr>
      </w:pPr>
      <w:bookmarkStart w:id="3" w:name="_Toc9165"/>
      <w:r>
        <w:rPr>
          <w:rFonts w:hint="eastAsia" w:ascii="方正仿宋简体" w:hAnsi="方正仿宋简体" w:eastAsia="方正仿宋简体" w:cs="方正仿宋简体"/>
          <w:b/>
          <w:bCs/>
          <w:color w:val="000000" w:themeColor="text1"/>
          <w:kern w:val="2"/>
          <w:sz w:val="36"/>
          <w:szCs w:val="36"/>
          <w:lang w:val="en-US" w:eastAsia="zh-CN" w:bidi="ar-SA"/>
          <w14:textFill>
            <w14:solidFill>
              <w14:schemeClr w14:val="tx1"/>
            </w14:solidFill>
          </w14:textFill>
        </w:rPr>
        <w:t>第一章  招标公告</w:t>
      </w:r>
      <w:bookmarkEnd w:id="0"/>
      <w:bookmarkEnd w:id="1"/>
      <w:bookmarkEnd w:id="2"/>
      <w:bookmarkEnd w:id="3"/>
    </w:p>
    <w:p>
      <w:pPr>
        <w:jc w:val="center"/>
        <w:rPr>
          <w:rFonts w:ascii="华文中宋" w:hAnsi="华文中宋" w:eastAsia="华文中宋"/>
          <w:sz w:val="30"/>
          <w:szCs w:val="30"/>
        </w:rPr>
      </w:pPr>
      <w:bookmarkStart w:id="4" w:name="_Hlk46308503"/>
    </w:p>
    <w:bookmarkEnd w:id="4"/>
    <w:p>
      <w:pPr>
        <w:keepNext w:val="0"/>
        <w:keepLines w:val="0"/>
        <w:pageBreakBefore w:val="0"/>
        <w:numPr>
          <w:ilvl w:val="0"/>
          <w:numId w:val="0"/>
        </w:numPr>
        <w:kinsoku/>
        <w:wordWrap/>
        <w:overflowPunct/>
        <w:topLinePunct w:val="0"/>
        <w:autoSpaceDE/>
        <w:autoSpaceDN/>
        <w:bidi w:val="0"/>
        <w:adjustRightInd/>
        <w:snapToGrid w:val="0"/>
        <w:spacing w:line="240" w:lineRule="auto"/>
        <w:ind w:left="0" w:leftChars="0" w:firstLine="418" w:firstLineChars="116"/>
        <w:jc w:val="center"/>
        <w:textAlignment w:val="auto"/>
        <w:outlineLvl w:val="9"/>
        <w:rPr>
          <w:rFonts w:hint="eastAsia" w:ascii="方正仿宋简体" w:hAnsi="方正仿宋简体" w:eastAsia="方正仿宋简体" w:cs="方正仿宋简体"/>
          <w:b/>
          <w:bCs/>
          <w:color w:val="000000"/>
          <w:sz w:val="36"/>
          <w:szCs w:val="36"/>
          <w:lang w:eastAsia="zh-CN"/>
        </w:rPr>
      </w:pPr>
      <w:r>
        <w:rPr>
          <w:rFonts w:hint="eastAsia" w:ascii="方正仿宋简体" w:hAnsi="方正仿宋简体" w:eastAsia="方正仿宋简体" w:cs="方正仿宋简体"/>
          <w:b/>
          <w:bCs/>
          <w:color w:val="000000"/>
          <w:sz w:val="36"/>
          <w:szCs w:val="36"/>
          <w:lang w:eastAsia="zh-CN"/>
        </w:rPr>
        <w:t>牟定县农业农村局</w:t>
      </w:r>
      <w:r>
        <w:rPr>
          <w:rFonts w:hint="eastAsia" w:ascii="方正仿宋简体" w:hAnsi="方正仿宋简体" w:eastAsia="方正仿宋简体" w:cs="方正仿宋简体"/>
          <w:b/>
          <w:bCs/>
          <w:color w:val="000000"/>
          <w:sz w:val="36"/>
          <w:szCs w:val="36"/>
          <w:lang w:val="en-US" w:eastAsia="zh-CN"/>
        </w:rPr>
        <w:t>2021年春秋季动物防疫疫苗采购</w:t>
      </w:r>
      <w:r>
        <w:rPr>
          <w:rFonts w:hint="eastAsia" w:ascii="方正仿宋简体" w:hAnsi="方正仿宋简体" w:eastAsia="方正仿宋简体" w:cs="方正仿宋简体"/>
          <w:b/>
          <w:bCs/>
          <w:color w:val="000000"/>
          <w:sz w:val="36"/>
          <w:szCs w:val="36"/>
          <w:lang w:eastAsia="zh-CN"/>
        </w:rPr>
        <w:t>项目</w:t>
      </w:r>
    </w:p>
    <w:p>
      <w:pPr>
        <w:keepNext w:val="0"/>
        <w:keepLines w:val="0"/>
        <w:pageBreakBefore w:val="0"/>
        <w:numPr>
          <w:ilvl w:val="0"/>
          <w:numId w:val="0"/>
        </w:numPr>
        <w:kinsoku/>
        <w:wordWrap/>
        <w:overflowPunct/>
        <w:topLinePunct w:val="0"/>
        <w:autoSpaceDE/>
        <w:autoSpaceDN/>
        <w:bidi w:val="0"/>
        <w:adjustRightInd/>
        <w:snapToGrid w:val="0"/>
        <w:spacing w:line="240" w:lineRule="auto"/>
        <w:ind w:firstLine="720" w:firstLineChars="200"/>
        <w:jc w:val="center"/>
        <w:textAlignment w:val="auto"/>
        <w:outlineLvl w:val="9"/>
        <w:rPr>
          <w:rFonts w:hint="eastAsia"/>
          <w:sz w:val="36"/>
          <w:szCs w:val="36"/>
        </w:rPr>
      </w:pPr>
      <w:r>
        <w:rPr>
          <w:rFonts w:hint="eastAsia" w:ascii="方正仿宋简体" w:hAnsi="方正仿宋简体" w:eastAsia="方正仿宋简体" w:cs="方正仿宋简体"/>
          <w:b/>
          <w:bCs/>
          <w:color w:val="000000"/>
          <w:sz w:val="36"/>
          <w:szCs w:val="36"/>
          <w:lang w:eastAsia="zh-CN"/>
        </w:rPr>
        <w:t>（</w:t>
      </w:r>
      <w:r>
        <w:rPr>
          <w:rFonts w:hint="eastAsia" w:ascii="方正仿宋简体" w:hAnsi="方正仿宋简体" w:eastAsia="方正仿宋简体" w:cs="方正仿宋简体"/>
          <w:b/>
          <w:bCs/>
          <w:color w:val="000000"/>
          <w:sz w:val="36"/>
          <w:szCs w:val="36"/>
          <w:lang w:val="en-US" w:eastAsia="zh-CN"/>
        </w:rPr>
        <w:t>A包、B包</w:t>
      </w:r>
      <w:r>
        <w:rPr>
          <w:rFonts w:hint="eastAsia" w:ascii="方正仿宋简体" w:hAnsi="方正仿宋简体" w:eastAsia="方正仿宋简体" w:cs="方正仿宋简体"/>
          <w:b/>
          <w:bCs/>
          <w:color w:val="000000"/>
          <w:sz w:val="36"/>
          <w:szCs w:val="36"/>
          <w:lang w:eastAsia="zh-CN"/>
        </w:rPr>
        <w:t>）公开招标公告</w:t>
      </w:r>
      <w:bookmarkStart w:id="5" w:name="_Hlk24379207"/>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bCs/>
          <w:color w:val="000000"/>
          <w:sz w:val="24"/>
          <w:szCs w:val="24"/>
          <w:lang w:val="en-US" w:eastAsia="zh-CN"/>
        </w:rPr>
        <w:t>项目概况：</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sz w:val="24"/>
          <w:szCs w:val="24"/>
        </w:rPr>
      </w:pPr>
      <w:r>
        <w:rPr>
          <w:rFonts w:hint="eastAsia" w:ascii="方正仿宋简体" w:hAnsi="方正仿宋简体" w:eastAsia="方正仿宋简体" w:cs="方正仿宋简体"/>
          <w:b w:val="0"/>
          <w:bCs w:val="0"/>
          <w:color w:val="000000"/>
          <w:sz w:val="24"/>
          <w:szCs w:val="24"/>
          <w:lang w:val="en-US" w:eastAsia="zh-CN"/>
        </w:rPr>
        <w:t>牟定县农业农村局2021年春秋季动物防疫疫苗采购项目的潜在投标人应在</w:t>
      </w:r>
      <w:r>
        <w:rPr>
          <w:rFonts w:hint="eastAsia" w:ascii="方正仿宋简体" w:hAnsi="方正仿宋简体" w:eastAsia="方正仿宋简体" w:cs="方正仿宋简体"/>
          <w:b w:val="0"/>
          <w:bCs w:val="0"/>
          <w:color w:val="000000"/>
          <w:sz w:val="24"/>
          <w:szCs w:val="24"/>
          <w:lang w:val="en-US" w:eastAsia="zh-CN"/>
        </w:rPr>
        <w:fldChar w:fldCharType="begin"/>
      </w:r>
      <w:r>
        <w:rPr>
          <w:rFonts w:hint="eastAsia" w:ascii="方正仿宋简体" w:hAnsi="方正仿宋简体" w:eastAsia="方正仿宋简体" w:cs="方正仿宋简体"/>
          <w:b w:val="0"/>
          <w:bCs w:val="0"/>
          <w:color w:val="000000"/>
          <w:sz w:val="24"/>
          <w:szCs w:val="24"/>
          <w:lang w:val="en-US" w:eastAsia="zh-CN"/>
        </w:rPr>
        <w:instrText xml:space="preserve">AUTOTEXT  input421 \* MERGEFORMAT</w:instrText>
      </w:r>
      <w:r>
        <w:rPr>
          <w:rFonts w:hint="eastAsia" w:ascii="方正仿宋简体" w:hAnsi="方正仿宋简体" w:eastAsia="方正仿宋简体" w:cs="方正仿宋简体"/>
          <w:b w:val="0"/>
          <w:bCs w:val="0"/>
          <w:color w:val="000000"/>
          <w:sz w:val="24"/>
          <w:szCs w:val="24"/>
          <w:lang w:val="en-US" w:eastAsia="zh-CN"/>
        </w:rPr>
        <w:fldChar w:fldCharType="separate"/>
      </w:r>
      <w:r>
        <w:rPr>
          <w:rFonts w:hint="eastAsia" w:ascii="方正仿宋简体" w:hAnsi="方正仿宋简体" w:eastAsia="方正仿宋简体" w:cs="方正仿宋简体"/>
          <w:b w:val="0"/>
          <w:bCs w:val="0"/>
          <w:color w:val="000000"/>
          <w:sz w:val="24"/>
          <w:szCs w:val="24"/>
          <w:lang w:val="en-US" w:eastAsia="zh-CN"/>
        </w:rPr>
        <w:t>楚雄州公共资源交易电子服务系统</w:t>
      </w:r>
      <w:r>
        <w:rPr>
          <w:rFonts w:hint="eastAsia" w:ascii="方正仿宋简体" w:hAnsi="方正仿宋简体" w:eastAsia="方正仿宋简体" w:cs="方正仿宋简体"/>
          <w:b w:val="0"/>
          <w:bCs w:val="0"/>
          <w:color w:val="000000"/>
          <w:sz w:val="24"/>
          <w:szCs w:val="24"/>
          <w:lang w:val="en-US" w:eastAsia="zh-CN"/>
        </w:rPr>
        <w:fldChar w:fldCharType="end"/>
      </w:r>
      <w:r>
        <w:rPr>
          <w:rFonts w:hint="eastAsia" w:ascii="方正仿宋简体" w:hAnsi="方正仿宋简体" w:eastAsia="方正仿宋简体" w:cs="方正仿宋简体"/>
          <w:b w:val="0"/>
          <w:bCs w:val="0"/>
          <w:color w:val="000000"/>
          <w:sz w:val="24"/>
          <w:szCs w:val="24"/>
          <w:lang w:val="en-US" w:eastAsia="zh-CN"/>
        </w:rPr>
        <w:t>（网址：</w:t>
      </w:r>
      <w:r>
        <w:rPr>
          <w:rFonts w:hint="eastAsia" w:ascii="方正仿宋简体" w:hAnsi="方正仿宋简体" w:eastAsia="方正仿宋简体" w:cs="方正仿宋简体"/>
          <w:b w:val="0"/>
          <w:bCs w:val="0"/>
          <w:color w:val="000000"/>
          <w:sz w:val="24"/>
          <w:szCs w:val="24"/>
          <w:lang w:val="en-US" w:eastAsia="zh-CN"/>
        </w:rPr>
        <w:fldChar w:fldCharType="begin"/>
      </w:r>
      <w:r>
        <w:rPr>
          <w:rFonts w:hint="eastAsia" w:ascii="方正仿宋简体" w:hAnsi="方正仿宋简体" w:eastAsia="方正仿宋简体" w:cs="方正仿宋简体"/>
          <w:b w:val="0"/>
          <w:bCs w:val="0"/>
          <w:color w:val="000000"/>
          <w:sz w:val="24"/>
          <w:szCs w:val="24"/>
          <w:lang w:val="en-US" w:eastAsia="zh-CN"/>
        </w:rPr>
        <w:instrText xml:space="preserve">AUTOTEXT  input422 \* MERGEFORMAT</w:instrText>
      </w:r>
      <w:r>
        <w:rPr>
          <w:rFonts w:hint="eastAsia" w:ascii="方正仿宋简体" w:hAnsi="方正仿宋简体" w:eastAsia="方正仿宋简体" w:cs="方正仿宋简体"/>
          <w:b w:val="0"/>
          <w:bCs w:val="0"/>
          <w:color w:val="000000"/>
          <w:sz w:val="24"/>
          <w:szCs w:val="24"/>
          <w:lang w:val="en-US" w:eastAsia="zh-CN"/>
        </w:rPr>
        <w:fldChar w:fldCharType="separate"/>
      </w:r>
      <w:r>
        <w:rPr>
          <w:rFonts w:hint="eastAsia" w:ascii="方正仿宋简体" w:hAnsi="方正仿宋简体" w:eastAsia="方正仿宋简体" w:cs="方正仿宋简体"/>
          <w:b w:val="0"/>
          <w:bCs w:val="0"/>
          <w:color w:val="000000"/>
          <w:sz w:val="24"/>
          <w:szCs w:val="24"/>
          <w:lang w:val="en-US" w:eastAsia="zh-CN"/>
        </w:rPr>
        <w:t>http://www.cxggzy.cn/</w:t>
      </w:r>
      <w:r>
        <w:rPr>
          <w:rFonts w:hint="eastAsia" w:ascii="方正仿宋简体" w:hAnsi="方正仿宋简体" w:eastAsia="方正仿宋简体" w:cs="方正仿宋简体"/>
          <w:b w:val="0"/>
          <w:bCs w:val="0"/>
          <w:color w:val="000000"/>
          <w:sz w:val="24"/>
          <w:szCs w:val="24"/>
          <w:lang w:val="en-US" w:eastAsia="zh-CN"/>
        </w:rPr>
        <w:fldChar w:fldCharType="end"/>
      </w:r>
      <w:r>
        <w:rPr>
          <w:rFonts w:hint="eastAsia" w:ascii="方正仿宋简体" w:hAnsi="方正仿宋简体" w:eastAsia="方正仿宋简体" w:cs="方正仿宋简体"/>
          <w:b w:val="0"/>
          <w:bCs w:val="0"/>
          <w:color w:val="000000"/>
          <w:sz w:val="24"/>
          <w:szCs w:val="24"/>
          <w:lang w:val="en-US" w:eastAsia="zh-CN"/>
        </w:rPr>
        <w:t>）获取招标文件，并于2021年02月</w:t>
      </w:r>
      <w:r>
        <w:rPr>
          <w:rFonts w:hint="eastAsia" w:ascii="方正仿宋简体" w:hAnsi="方正仿宋简体" w:eastAsia="方正仿宋简体" w:cs="方正仿宋简体"/>
          <w:b w:val="0"/>
          <w:bCs w:val="0"/>
          <w:color w:val="auto"/>
          <w:sz w:val="24"/>
          <w:szCs w:val="24"/>
          <w:lang w:val="en-US" w:eastAsia="zh-CN"/>
        </w:rPr>
        <w:t>05</w:t>
      </w:r>
      <w:r>
        <w:rPr>
          <w:rFonts w:hint="eastAsia" w:ascii="方正仿宋简体" w:hAnsi="方正仿宋简体" w:eastAsia="方正仿宋简体" w:cs="方正仿宋简体"/>
          <w:b w:val="0"/>
          <w:bCs w:val="0"/>
          <w:color w:val="000000"/>
          <w:sz w:val="24"/>
          <w:szCs w:val="24"/>
          <w:lang w:val="en-US" w:eastAsia="zh-CN"/>
        </w:rPr>
        <w:t>日09时00分（北京时间）前递交（上传）投标文件。</w:t>
      </w:r>
    </w:p>
    <w:p>
      <w:pPr>
        <w:keepNext w:val="0"/>
        <w:keepLines w:val="0"/>
        <w:pageBreakBefore w:val="0"/>
        <w:kinsoku/>
        <w:wordWrap/>
        <w:overflowPunct/>
        <w:topLinePunct w:val="0"/>
        <w:autoSpaceDE/>
        <w:autoSpaceDN/>
        <w:bidi w:val="0"/>
        <w:adjustRightInd/>
        <w:snapToGrid w:val="0"/>
        <w:spacing w:after="0" w:line="240" w:lineRule="auto"/>
        <w:jc w:val="both"/>
        <w:textAlignment w:val="auto"/>
        <w:outlineLvl w:val="9"/>
        <w:rPr>
          <w:rFonts w:hint="eastAsia" w:eastAsia="宋体"/>
          <w:sz w:val="24"/>
          <w:szCs w:val="24"/>
          <w:lang w:eastAsia="zh-CN"/>
        </w:rPr>
      </w:pPr>
      <w:r>
        <w:rPr>
          <w:rFonts w:hint="eastAsia" w:ascii="方正仿宋简体" w:hAnsi="方正仿宋简体" w:eastAsia="方正仿宋简体" w:cs="方正仿宋简体"/>
          <w:b/>
          <w:bCs/>
          <w:color w:val="000000"/>
          <w:sz w:val="24"/>
          <w:szCs w:val="24"/>
          <w:lang w:val="en-US" w:eastAsia="zh-CN"/>
        </w:rPr>
        <w:t>一、项目基本条件</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default"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项目编号：4532323JH202100011</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项目名称：牟定县农业农村局2021年春秋季动物防疫疫苗采购项目（A包、B包）</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预算金额：66.80万元</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最高限价：66.80万元</w:t>
      </w:r>
    </w:p>
    <w:p>
      <w:pPr>
        <w:keepNext w:val="0"/>
        <w:keepLines w:val="0"/>
        <w:pageBreakBefore w:val="0"/>
        <w:kinsoku/>
        <w:wordWrap/>
        <w:overflowPunct/>
        <w:topLinePunct w:val="0"/>
        <w:autoSpaceDE/>
        <w:autoSpaceDN/>
        <w:bidi w:val="0"/>
        <w:adjustRightInd/>
        <w:snapToGrid w:val="0"/>
        <w:spacing w:after="0" w:line="240" w:lineRule="auto"/>
        <w:ind w:firstLine="420" w:firstLineChars="200"/>
        <w:jc w:val="both"/>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采购需求：</w:t>
      </w:r>
      <w:bookmarkEnd w:id="5"/>
    </w:p>
    <w:tbl>
      <w:tblPr>
        <w:tblStyle w:val="40"/>
        <w:tblW w:w="9647"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3758"/>
        <w:gridCol w:w="705"/>
        <w:gridCol w:w="990"/>
        <w:gridCol w:w="1760"/>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noWrap w:val="0"/>
            <w:vAlign w:val="top"/>
          </w:tcPr>
          <w:p>
            <w:pPr>
              <w:keepNext w:val="0"/>
              <w:keepLines w:val="0"/>
              <w:pageBreakBefore w:val="0"/>
              <w:kinsoku/>
              <w:wordWrap/>
              <w:overflowPunct/>
              <w:topLinePunct w:val="0"/>
              <w:autoSpaceDE/>
              <w:autoSpaceDN/>
              <w:bidi w:val="0"/>
              <w:adjustRightInd/>
              <w:snapToGrid w:val="0"/>
              <w:spacing w:after="0" w:line="240" w:lineRule="auto"/>
              <w:jc w:val="center"/>
              <w:textAlignment w:val="auto"/>
              <w:outlineLvl w:val="9"/>
              <w:rPr>
                <w:rFonts w:hint="default"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包号</w:t>
            </w:r>
          </w:p>
        </w:tc>
        <w:tc>
          <w:tcPr>
            <w:tcW w:w="3758" w:type="dxa"/>
            <w:noWrap w:val="0"/>
            <w:vAlign w:val="top"/>
          </w:tcPr>
          <w:p>
            <w:pPr>
              <w:keepNext w:val="0"/>
              <w:keepLines w:val="0"/>
              <w:pageBreakBefore w:val="0"/>
              <w:kinsoku/>
              <w:wordWrap/>
              <w:overflowPunct/>
              <w:topLinePunct w:val="0"/>
              <w:autoSpaceDE/>
              <w:autoSpaceDN/>
              <w:bidi w:val="0"/>
              <w:adjustRightInd/>
              <w:snapToGrid w:val="0"/>
              <w:spacing w:after="0" w:line="240" w:lineRule="auto"/>
              <w:ind w:firstLine="420" w:firstLineChars="200"/>
              <w:jc w:val="center"/>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采购内容</w:t>
            </w:r>
          </w:p>
        </w:tc>
        <w:tc>
          <w:tcPr>
            <w:tcW w:w="705" w:type="dxa"/>
            <w:noWrap w:val="0"/>
            <w:vAlign w:val="top"/>
          </w:tcPr>
          <w:p>
            <w:pPr>
              <w:keepNext w:val="0"/>
              <w:keepLines w:val="0"/>
              <w:pageBreakBefore w:val="0"/>
              <w:kinsoku/>
              <w:wordWrap/>
              <w:overflowPunct/>
              <w:topLinePunct w:val="0"/>
              <w:autoSpaceDE/>
              <w:autoSpaceDN/>
              <w:bidi w:val="0"/>
              <w:adjustRightInd/>
              <w:snapToGrid w:val="0"/>
              <w:spacing w:after="0" w:line="240" w:lineRule="auto"/>
              <w:jc w:val="center"/>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单位</w:t>
            </w:r>
          </w:p>
        </w:tc>
        <w:tc>
          <w:tcPr>
            <w:tcW w:w="990" w:type="dxa"/>
            <w:noWrap w:val="0"/>
            <w:vAlign w:val="top"/>
          </w:tcPr>
          <w:p>
            <w:pPr>
              <w:keepNext w:val="0"/>
              <w:keepLines w:val="0"/>
              <w:pageBreakBefore w:val="0"/>
              <w:kinsoku/>
              <w:wordWrap/>
              <w:overflowPunct/>
              <w:topLinePunct w:val="0"/>
              <w:autoSpaceDE/>
              <w:autoSpaceDN/>
              <w:bidi w:val="0"/>
              <w:adjustRightInd/>
              <w:snapToGrid w:val="0"/>
              <w:spacing w:after="0" w:line="240" w:lineRule="auto"/>
              <w:jc w:val="center"/>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数量</w:t>
            </w:r>
          </w:p>
        </w:tc>
        <w:tc>
          <w:tcPr>
            <w:tcW w:w="1760" w:type="dxa"/>
            <w:noWrap w:val="0"/>
            <w:vAlign w:val="top"/>
          </w:tcPr>
          <w:p>
            <w:pPr>
              <w:keepNext w:val="0"/>
              <w:keepLines w:val="0"/>
              <w:pageBreakBefore w:val="0"/>
              <w:kinsoku/>
              <w:wordWrap/>
              <w:overflowPunct/>
              <w:topLinePunct w:val="0"/>
              <w:autoSpaceDE/>
              <w:autoSpaceDN/>
              <w:bidi w:val="0"/>
              <w:adjustRightInd/>
              <w:snapToGrid w:val="0"/>
              <w:spacing w:after="0" w:line="240" w:lineRule="auto"/>
              <w:jc w:val="both"/>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采购金额（万元）</w:t>
            </w:r>
          </w:p>
        </w:tc>
        <w:tc>
          <w:tcPr>
            <w:tcW w:w="1735" w:type="dxa"/>
            <w:noWrap w:val="0"/>
            <w:vAlign w:val="top"/>
          </w:tcPr>
          <w:p>
            <w:pPr>
              <w:keepNext w:val="0"/>
              <w:keepLines w:val="0"/>
              <w:pageBreakBefore w:val="0"/>
              <w:kinsoku/>
              <w:wordWrap/>
              <w:overflowPunct/>
              <w:topLinePunct w:val="0"/>
              <w:autoSpaceDE/>
              <w:autoSpaceDN/>
              <w:bidi w:val="0"/>
              <w:adjustRightInd/>
              <w:snapToGrid w:val="0"/>
              <w:spacing w:after="0" w:line="240" w:lineRule="auto"/>
              <w:jc w:val="both"/>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9" w:type="dxa"/>
            <w:vMerge w:val="restart"/>
            <w:noWrap w:val="0"/>
            <w:vAlign w:val="top"/>
          </w:tcPr>
          <w:p>
            <w:pPr>
              <w:keepNext w:val="0"/>
              <w:keepLines w:val="0"/>
              <w:pageBreakBefore w:val="0"/>
              <w:kinsoku/>
              <w:wordWrap/>
              <w:overflowPunct/>
              <w:topLinePunct w:val="0"/>
              <w:autoSpaceDE/>
              <w:autoSpaceDN/>
              <w:bidi w:val="0"/>
              <w:adjustRightInd/>
              <w:snapToGrid w:val="0"/>
              <w:spacing w:after="0" w:line="240" w:lineRule="auto"/>
              <w:jc w:val="center"/>
              <w:textAlignment w:val="auto"/>
              <w:outlineLvl w:val="9"/>
              <w:rPr>
                <w:rFonts w:hint="default"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A包</w:t>
            </w:r>
          </w:p>
        </w:tc>
        <w:tc>
          <w:tcPr>
            <w:tcW w:w="3758" w:type="dxa"/>
            <w:noWrap w:val="0"/>
            <w:vAlign w:val="center"/>
          </w:tcPr>
          <w:p>
            <w:pPr>
              <w:keepNext w:val="0"/>
              <w:keepLines w:val="0"/>
              <w:pageBreakBefore w:val="0"/>
              <w:kinsoku/>
              <w:wordWrap/>
              <w:overflowPunct/>
              <w:topLinePunct w:val="0"/>
              <w:autoSpaceDE/>
              <w:autoSpaceDN/>
              <w:bidi w:val="0"/>
              <w:adjustRightInd/>
              <w:snapToGrid w:val="0"/>
              <w:spacing w:after="0" w:line="240" w:lineRule="auto"/>
              <w:ind w:firstLine="420" w:firstLineChars="200"/>
              <w:jc w:val="center"/>
              <w:textAlignment w:val="auto"/>
              <w:outlineLvl w:val="9"/>
              <w:rPr>
                <w:rFonts w:hint="default"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猪O型口蹄疫疫苗</w:t>
            </w:r>
          </w:p>
        </w:tc>
        <w:tc>
          <w:tcPr>
            <w:tcW w:w="705" w:type="dxa"/>
            <w:noWrap w:val="0"/>
            <w:vAlign w:val="center"/>
          </w:tcPr>
          <w:p>
            <w:pPr>
              <w:keepNext w:val="0"/>
              <w:keepLines w:val="0"/>
              <w:pageBreakBefore w:val="0"/>
              <w:kinsoku/>
              <w:wordWrap/>
              <w:overflowPunct/>
              <w:topLinePunct w:val="0"/>
              <w:autoSpaceDE/>
              <w:autoSpaceDN/>
              <w:bidi w:val="0"/>
              <w:adjustRightInd/>
              <w:snapToGrid w:val="0"/>
              <w:spacing w:after="0" w:line="240" w:lineRule="auto"/>
              <w:jc w:val="both"/>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毫升</w:t>
            </w:r>
          </w:p>
        </w:tc>
        <w:tc>
          <w:tcPr>
            <w:tcW w:w="990" w:type="dxa"/>
            <w:noWrap w:val="0"/>
            <w:vAlign w:val="center"/>
          </w:tcPr>
          <w:p>
            <w:pPr>
              <w:keepNext w:val="0"/>
              <w:keepLines w:val="0"/>
              <w:pageBreakBefore w:val="0"/>
              <w:kinsoku/>
              <w:wordWrap/>
              <w:overflowPunct/>
              <w:topLinePunct w:val="0"/>
              <w:autoSpaceDE/>
              <w:autoSpaceDN/>
              <w:bidi w:val="0"/>
              <w:adjustRightInd/>
              <w:snapToGrid w:val="0"/>
              <w:spacing w:after="0" w:line="240" w:lineRule="auto"/>
              <w:jc w:val="both"/>
              <w:textAlignment w:val="auto"/>
              <w:outlineLvl w:val="9"/>
              <w:rPr>
                <w:rFonts w:hint="default"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440000</w:t>
            </w:r>
          </w:p>
        </w:tc>
        <w:tc>
          <w:tcPr>
            <w:tcW w:w="1760" w:type="dxa"/>
            <w:noWrap w:val="0"/>
            <w:vAlign w:val="center"/>
          </w:tcPr>
          <w:p>
            <w:pPr>
              <w:keepNext w:val="0"/>
              <w:keepLines w:val="0"/>
              <w:pageBreakBefore w:val="0"/>
              <w:kinsoku/>
              <w:wordWrap/>
              <w:overflowPunct/>
              <w:topLinePunct w:val="0"/>
              <w:autoSpaceDE/>
              <w:autoSpaceDN/>
              <w:bidi w:val="0"/>
              <w:adjustRightInd/>
              <w:snapToGrid w:val="0"/>
              <w:spacing w:after="0" w:line="240" w:lineRule="auto"/>
              <w:ind w:firstLine="420" w:firstLineChars="200"/>
              <w:jc w:val="both"/>
              <w:textAlignment w:val="auto"/>
              <w:outlineLvl w:val="9"/>
              <w:rPr>
                <w:rFonts w:hint="default"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35.20</w:t>
            </w:r>
          </w:p>
        </w:tc>
        <w:tc>
          <w:tcPr>
            <w:tcW w:w="1735" w:type="dxa"/>
            <w:vMerge w:val="restart"/>
            <w:noWrap w:val="0"/>
            <w:vAlign w:val="center"/>
          </w:tcPr>
          <w:p>
            <w:pPr>
              <w:keepNext w:val="0"/>
              <w:keepLines w:val="0"/>
              <w:pageBreakBefore w:val="0"/>
              <w:kinsoku/>
              <w:wordWrap/>
              <w:overflowPunct/>
              <w:topLinePunct w:val="0"/>
              <w:autoSpaceDE/>
              <w:autoSpaceDN/>
              <w:bidi w:val="0"/>
              <w:adjustRightInd/>
              <w:snapToGrid w:val="0"/>
              <w:spacing w:after="0" w:line="240" w:lineRule="auto"/>
              <w:ind w:firstLine="420" w:firstLineChars="200"/>
              <w:jc w:val="both"/>
              <w:textAlignment w:val="auto"/>
              <w:outlineLvl w:val="9"/>
              <w:rPr>
                <w:rFonts w:hint="default"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61.20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continue"/>
            <w:noWrap w:val="0"/>
            <w:vAlign w:val="top"/>
          </w:tcPr>
          <w:p>
            <w:pPr>
              <w:keepNext w:val="0"/>
              <w:keepLines w:val="0"/>
              <w:pageBreakBefore w:val="0"/>
              <w:kinsoku/>
              <w:wordWrap/>
              <w:overflowPunct/>
              <w:topLinePunct w:val="0"/>
              <w:autoSpaceDE/>
              <w:autoSpaceDN/>
              <w:bidi w:val="0"/>
              <w:adjustRightInd/>
              <w:snapToGrid w:val="0"/>
              <w:spacing w:after="0" w:line="240" w:lineRule="auto"/>
              <w:ind w:firstLine="420" w:firstLineChars="200"/>
              <w:jc w:val="center"/>
              <w:textAlignment w:val="auto"/>
              <w:outlineLvl w:val="9"/>
              <w:rPr>
                <w:rFonts w:hint="eastAsia" w:ascii="方正仿宋简体" w:hAnsi="方正仿宋简体" w:eastAsia="方正仿宋简体" w:cs="方正仿宋简体"/>
                <w:b w:val="0"/>
                <w:bCs w:val="0"/>
                <w:color w:val="000000"/>
                <w:sz w:val="21"/>
                <w:szCs w:val="21"/>
                <w:lang w:val="en-US" w:eastAsia="zh-CN"/>
              </w:rPr>
            </w:pPr>
          </w:p>
        </w:tc>
        <w:tc>
          <w:tcPr>
            <w:tcW w:w="3758" w:type="dxa"/>
            <w:noWrap w:val="0"/>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牛羊口蹄疫O型、A型二价灭活疫苗</w:t>
            </w:r>
          </w:p>
        </w:tc>
        <w:tc>
          <w:tcPr>
            <w:tcW w:w="705" w:type="dxa"/>
            <w:noWrap w:val="0"/>
            <w:vAlign w:val="center"/>
          </w:tcPr>
          <w:p>
            <w:pPr>
              <w:keepNext w:val="0"/>
              <w:keepLines w:val="0"/>
              <w:pageBreakBefore w:val="0"/>
              <w:kinsoku/>
              <w:wordWrap/>
              <w:overflowPunct/>
              <w:topLinePunct w:val="0"/>
              <w:autoSpaceDE/>
              <w:autoSpaceDN/>
              <w:bidi w:val="0"/>
              <w:adjustRightInd/>
              <w:snapToGrid w:val="0"/>
              <w:spacing w:after="0" w:line="240" w:lineRule="auto"/>
              <w:jc w:val="both"/>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毫升</w:t>
            </w:r>
          </w:p>
        </w:tc>
        <w:tc>
          <w:tcPr>
            <w:tcW w:w="990" w:type="dxa"/>
            <w:noWrap w:val="0"/>
            <w:vAlign w:val="center"/>
          </w:tcPr>
          <w:p>
            <w:pPr>
              <w:keepNext w:val="0"/>
              <w:keepLines w:val="0"/>
              <w:pageBreakBefore w:val="0"/>
              <w:kinsoku/>
              <w:wordWrap/>
              <w:overflowPunct/>
              <w:topLinePunct w:val="0"/>
              <w:autoSpaceDE/>
              <w:autoSpaceDN/>
              <w:bidi w:val="0"/>
              <w:adjustRightInd/>
              <w:snapToGrid w:val="0"/>
              <w:spacing w:after="0" w:line="240" w:lineRule="auto"/>
              <w:jc w:val="both"/>
              <w:textAlignment w:val="auto"/>
              <w:outlineLvl w:val="9"/>
              <w:rPr>
                <w:rFonts w:hint="default"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260000</w:t>
            </w:r>
          </w:p>
        </w:tc>
        <w:tc>
          <w:tcPr>
            <w:tcW w:w="1760" w:type="dxa"/>
            <w:noWrap w:val="0"/>
            <w:vAlign w:val="center"/>
          </w:tcPr>
          <w:p>
            <w:pPr>
              <w:keepNext w:val="0"/>
              <w:keepLines w:val="0"/>
              <w:pageBreakBefore w:val="0"/>
              <w:kinsoku/>
              <w:wordWrap/>
              <w:overflowPunct/>
              <w:topLinePunct w:val="0"/>
              <w:autoSpaceDE/>
              <w:autoSpaceDN/>
              <w:bidi w:val="0"/>
              <w:adjustRightInd/>
              <w:snapToGrid w:val="0"/>
              <w:spacing w:after="0" w:line="240" w:lineRule="auto"/>
              <w:ind w:firstLine="420" w:firstLineChars="200"/>
              <w:jc w:val="both"/>
              <w:textAlignment w:val="auto"/>
              <w:outlineLvl w:val="9"/>
              <w:rPr>
                <w:rFonts w:hint="default"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26.00</w:t>
            </w:r>
          </w:p>
        </w:tc>
        <w:tc>
          <w:tcPr>
            <w:tcW w:w="1735" w:type="dxa"/>
            <w:vMerge w:val="continue"/>
            <w:noWrap w:val="0"/>
            <w:vAlign w:val="center"/>
          </w:tcPr>
          <w:p>
            <w:pPr>
              <w:keepNext w:val="0"/>
              <w:keepLines w:val="0"/>
              <w:pageBreakBefore w:val="0"/>
              <w:kinsoku/>
              <w:wordWrap/>
              <w:overflowPunct/>
              <w:topLinePunct w:val="0"/>
              <w:autoSpaceDE/>
              <w:autoSpaceDN/>
              <w:bidi w:val="0"/>
              <w:adjustRightInd/>
              <w:snapToGrid w:val="0"/>
              <w:spacing w:after="0" w:line="240" w:lineRule="auto"/>
              <w:ind w:firstLine="420" w:firstLineChars="200"/>
              <w:jc w:val="both"/>
              <w:textAlignment w:val="auto"/>
              <w:outlineLvl w:val="9"/>
              <w:rPr>
                <w:rFonts w:hint="eastAsia" w:ascii="方正仿宋简体" w:hAnsi="方正仿宋简体" w:eastAsia="方正仿宋简体" w:cs="方正仿宋简体"/>
                <w:b w:val="0"/>
                <w:b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noWrap w:val="0"/>
            <w:vAlign w:val="top"/>
          </w:tcPr>
          <w:p>
            <w:pPr>
              <w:keepNext w:val="0"/>
              <w:keepLines w:val="0"/>
              <w:pageBreakBefore w:val="0"/>
              <w:kinsoku/>
              <w:wordWrap/>
              <w:overflowPunct/>
              <w:topLinePunct w:val="0"/>
              <w:autoSpaceDE/>
              <w:autoSpaceDN/>
              <w:bidi w:val="0"/>
              <w:adjustRightInd/>
              <w:snapToGrid w:val="0"/>
              <w:spacing w:after="0" w:line="240" w:lineRule="auto"/>
              <w:jc w:val="center"/>
              <w:textAlignment w:val="auto"/>
              <w:outlineLvl w:val="9"/>
              <w:rPr>
                <w:rFonts w:hint="default"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B包</w:t>
            </w:r>
          </w:p>
        </w:tc>
        <w:tc>
          <w:tcPr>
            <w:tcW w:w="3758" w:type="dxa"/>
            <w:noWrap w:val="0"/>
            <w:vAlign w:val="center"/>
          </w:tcPr>
          <w:p>
            <w:pPr>
              <w:keepNext w:val="0"/>
              <w:keepLines w:val="0"/>
              <w:pageBreakBefore w:val="0"/>
              <w:kinsoku/>
              <w:wordWrap/>
              <w:overflowPunct/>
              <w:topLinePunct w:val="0"/>
              <w:autoSpaceDE/>
              <w:autoSpaceDN/>
              <w:bidi w:val="0"/>
              <w:adjustRightInd/>
              <w:snapToGrid w:val="0"/>
              <w:spacing w:after="0" w:line="240" w:lineRule="auto"/>
              <w:ind w:firstLine="420" w:firstLineChars="200"/>
              <w:jc w:val="center"/>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小反刍兽疫活疫苗及稀释液</w:t>
            </w:r>
          </w:p>
        </w:tc>
        <w:tc>
          <w:tcPr>
            <w:tcW w:w="705" w:type="dxa"/>
            <w:noWrap w:val="0"/>
            <w:vAlign w:val="center"/>
          </w:tcPr>
          <w:p>
            <w:pPr>
              <w:keepNext w:val="0"/>
              <w:keepLines w:val="0"/>
              <w:pageBreakBefore w:val="0"/>
              <w:kinsoku/>
              <w:wordWrap/>
              <w:overflowPunct/>
              <w:topLinePunct w:val="0"/>
              <w:autoSpaceDE/>
              <w:autoSpaceDN/>
              <w:bidi w:val="0"/>
              <w:adjustRightInd/>
              <w:snapToGrid w:val="0"/>
              <w:spacing w:after="0" w:line="240" w:lineRule="auto"/>
              <w:jc w:val="both"/>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头份</w:t>
            </w:r>
          </w:p>
        </w:tc>
        <w:tc>
          <w:tcPr>
            <w:tcW w:w="990" w:type="dxa"/>
            <w:noWrap w:val="0"/>
            <w:vAlign w:val="center"/>
          </w:tcPr>
          <w:p>
            <w:pPr>
              <w:keepNext w:val="0"/>
              <w:keepLines w:val="0"/>
              <w:pageBreakBefore w:val="0"/>
              <w:kinsoku/>
              <w:wordWrap/>
              <w:overflowPunct/>
              <w:topLinePunct w:val="0"/>
              <w:autoSpaceDE/>
              <w:autoSpaceDN/>
              <w:bidi w:val="0"/>
              <w:adjustRightInd/>
              <w:snapToGrid w:val="0"/>
              <w:spacing w:after="0" w:line="240" w:lineRule="auto"/>
              <w:jc w:val="both"/>
              <w:textAlignment w:val="auto"/>
              <w:outlineLvl w:val="9"/>
              <w:rPr>
                <w:rFonts w:hint="default"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140000</w:t>
            </w:r>
          </w:p>
        </w:tc>
        <w:tc>
          <w:tcPr>
            <w:tcW w:w="1760" w:type="dxa"/>
            <w:noWrap w:val="0"/>
            <w:vAlign w:val="center"/>
          </w:tcPr>
          <w:p>
            <w:pPr>
              <w:keepNext w:val="0"/>
              <w:keepLines w:val="0"/>
              <w:pageBreakBefore w:val="0"/>
              <w:kinsoku/>
              <w:wordWrap/>
              <w:overflowPunct/>
              <w:topLinePunct w:val="0"/>
              <w:autoSpaceDE/>
              <w:autoSpaceDN/>
              <w:bidi w:val="0"/>
              <w:adjustRightInd/>
              <w:snapToGrid w:val="0"/>
              <w:spacing w:after="0" w:line="240" w:lineRule="auto"/>
              <w:ind w:firstLine="420" w:firstLineChars="200"/>
              <w:jc w:val="both"/>
              <w:textAlignment w:val="auto"/>
              <w:outlineLvl w:val="9"/>
              <w:rPr>
                <w:rFonts w:hint="default"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5.60</w:t>
            </w:r>
          </w:p>
        </w:tc>
        <w:tc>
          <w:tcPr>
            <w:tcW w:w="1735" w:type="dxa"/>
            <w:noWrap w:val="0"/>
            <w:vAlign w:val="center"/>
          </w:tcPr>
          <w:p>
            <w:pPr>
              <w:keepNext w:val="0"/>
              <w:keepLines w:val="0"/>
              <w:pageBreakBefore w:val="0"/>
              <w:kinsoku/>
              <w:wordWrap/>
              <w:overflowPunct/>
              <w:topLinePunct w:val="0"/>
              <w:autoSpaceDE/>
              <w:autoSpaceDN/>
              <w:bidi w:val="0"/>
              <w:adjustRightInd/>
              <w:snapToGrid w:val="0"/>
              <w:spacing w:after="0" w:line="240" w:lineRule="auto"/>
              <w:ind w:firstLine="420" w:firstLineChars="200"/>
              <w:jc w:val="both"/>
              <w:textAlignment w:val="auto"/>
              <w:outlineLvl w:val="9"/>
              <w:rPr>
                <w:rFonts w:hint="default"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5.60</w:t>
            </w:r>
          </w:p>
        </w:tc>
      </w:tr>
    </w:tbl>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合同履行期限：在合同签订后由招标人提前15天通知中标人按招标人需求完成所有货物的供货和验收，并交付给采购人正常使用（具体交货时间按采购合同的要求办理）。</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本项目不接受联合体投标。</w:t>
      </w:r>
    </w:p>
    <w:p>
      <w:pPr>
        <w:keepNext w:val="0"/>
        <w:keepLines w:val="0"/>
        <w:pageBreakBefore w:val="0"/>
        <w:kinsoku/>
        <w:wordWrap/>
        <w:overflowPunct/>
        <w:topLinePunct w:val="0"/>
        <w:autoSpaceDE/>
        <w:autoSpaceDN/>
        <w:bidi w:val="0"/>
        <w:adjustRightInd/>
        <w:snapToGrid w:val="0"/>
        <w:spacing w:after="0" w:line="240" w:lineRule="auto"/>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bookmarkStart w:id="6" w:name="_Toc35393622"/>
      <w:bookmarkStart w:id="7" w:name="_Toc35393791"/>
      <w:bookmarkStart w:id="8" w:name="_Toc28359003"/>
      <w:bookmarkStart w:id="9" w:name="_Toc28359080"/>
      <w:r>
        <w:rPr>
          <w:rFonts w:hint="eastAsia" w:ascii="方正仿宋简体" w:hAnsi="方正仿宋简体" w:eastAsia="方正仿宋简体" w:cs="方正仿宋简体"/>
          <w:b/>
          <w:bCs/>
          <w:color w:val="000000"/>
          <w:sz w:val="24"/>
          <w:szCs w:val="24"/>
          <w:lang w:val="en-US" w:eastAsia="zh-CN"/>
        </w:rPr>
        <w:t>二、申请人的资格要求</w:t>
      </w:r>
      <w:bookmarkEnd w:id="6"/>
      <w:bookmarkEnd w:id="7"/>
      <w:bookmarkEnd w:id="8"/>
      <w:bookmarkEnd w:id="9"/>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（一）满足《中华人民共和国政府采购法》第二十二条规定:</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1.具有独立承担民事责任的能力：提供法人或者其他组织的营业执照等证明文件。</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2.具有良好的商业信誉和健全的财务会计制度：提供近三年其中任意一年经会计师事务所或审计机构出具的财务报表及审计报告或提供银行出具的资信证明；投标人为新注册的（投标文件递交时间止成立未满一年的）提供近期其中任意一个月的财务状况报表。</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3.具有履行合同所必需的设备和专业技术能力：提供合同所必需的设备、工具和专业技术人员的相关材料。</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4.有依法缴纳税收和社会保障资金的良好记录：提供最近三个月缴纳税收和社保的凭证；如依法免税或不需要缴纳社会保障资金的，应提供相应文件证明。</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5.参加政府采购活动前三年内，在经营活动中没有重大违法记录。</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6.法律、行政法规规定的其他条件：</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（1）到投标截止时间止，未被“信用中国”网站（www.creditchina.gov.cn）中列入失信被执行人和重大税收违法案件当事人名单（处罚期限尚未届满的）。</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（2）到投标截止时间止，未被“中国政府采购网”网站（www.ccgp.gov.cn）列入政府采购严重违法失信行为记录名单（处罚期限尚未届满的）。</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auto"/>
          <w:sz w:val="24"/>
          <w:szCs w:val="24"/>
          <w:lang w:val="en-US" w:eastAsia="zh-CN"/>
        </w:rPr>
      </w:pPr>
      <w:r>
        <w:rPr>
          <w:rFonts w:hint="eastAsia" w:ascii="方正仿宋简体" w:hAnsi="方正仿宋简体" w:eastAsia="方正仿宋简体" w:cs="方正仿宋简体"/>
          <w:b w:val="0"/>
          <w:bCs w:val="0"/>
          <w:color w:val="auto"/>
          <w:sz w:val="24"/>
          <w:szCs w:val="24"/>
          <w:lang w:val="en-US" w:eastAsia="zh-CN"/>
        </w:rPr>
        <w:t>（二）落实政府采购政策需满足的资格要求：无。</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（三）本项目的特定资格要求：</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1.投标产品的生产厂家必须是农业部的定点生产企业；并通过农业部GMP认证、或有销售资质的经销商（必须获得省农业厅生物制品GSP认证的企业），具有兽药生产许可证或兽药经营许可证；</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2.供应商所投标产品须有正式有效的批准文号和2019年12月1日至本项目投标截止日期前出具的（供应商出具连续3个批次）检验报告（指由中国兽医药品监察所审核意见的《兽用生物制品生产与检验报告》）；</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3. 所投产品必须具有农业部颁发的国家兽药生产许可证或兽药经营许可证；</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4.所投产品必须具有农业部兽药产品批准文号；</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5.不接受进口产品投标。</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满足以上资格要求的供应商可以对以上合同包同时投标。</w:t>
      </w:r>
    </w:p>
    <w:p>
      <w:pPr>
        <w:keepNext w:val="0"/>
        <w:keepLines w:val="0"/>
        <w:pageBreakBefore w:val="0"/>
        <w:kinsoku/>
        <w:wordWrap/>
        <w:overflowPunct/>
        <w:topLinePunct w:val="0"/>
        <w:autoSpaceDE/>
        <w:autoSpaceDN/>
        <w:bidi w:val="0"/>
        <w:adjustRightInd/>
        <w:snapToGrid w:val="0"/>
        <w:spacing w:after="0" w:line="240" w:lineRule="auto"/>
        <w:jc w:val="both"/>
        <w:textAlignment w:val="auto"/>
        <w:outlineLvl w:val="9"/>
        <w:rPr>
          <w:rFonts w:hint="eastAsia" w:ascii="方正仿宋简体" w:hAnsi="方正仿宋简体" w:eastAsia="方正仿宋简体" w:cs="方正仿宋简体"/>
          <w:b/>
          <w:bCs/>
          <w:color w:val="000000"/>
          <w:sz w:val="24"/>
          <w:szCs w:val="24"/>
          <w:lang w:val="en-US" w:eastAsia="zh-CN"/>
        </w:rPr>
      </w:pPr>
      <w:bookmarkStart w:id="10" w:name="_Toc35393800"/>
      <w:bookmarkStart w:id="11" w:name="_Toc35393631"/>
      <w:bookmarkStart w:id="12" w:name="_Toc425239401"/>
      <w:r>
        <w:rPr>
          <w:rFonts w:hint="eastAsia" w:ascii="方正仿宋简体" w:hAnsi="方正仿宋简体" w:eastAsia="方正仿宋简体" w:cs="方正仿宋简体"/>
          <w:b/>
          <w:bCs/>
          <w:color w:val="000000"/>
          <w:sz w:val="24"/>
          <w:szCs w:val="24"/>
          <w:lang w:val="en-US" w:eastAsia="zh-CN"/>
        </w:rPr>
        <w:t>三、招标文件的获取</w:t>
      </w:r>
      <w:bookmarkEnd w:id="10"/>
      <w:bookmarkEnd w:id="11"/>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bookmarkStart w:id="13" w:name="_Toc35393637"/>
      <w:bookmarkStart w:id="14" w:name="_Toc28359019"/>
      <w:bookmarkStart w:id="15" w:name="_Toc35393806"/>
      <w:bookmarkStart w:id="16" w:name="_Toc28359096"/>
      <w:bookmarkStart w:id="17" w:name="_Toc304998754"/>
      <w:r>
        <w:rPr>
          <w:rFonts w:hint="eastAsia" w:ascii="方正仿宋简体" w:hAnsi="方正仿宋简体" w:eastAsia="方正仿宋简体" w:cs="方正仿宋简体"/>
          <w:b w:val="0"/>
          <w:bCs w:val="0"/>
          <w:color w:val="000000"/>
          <w:sz w:val="24"/>
          <w:szCs w:val="24"/>
          <w:lang w:val="en-US" w:eastAsia="zh-CN"/>
        </w:rPr>
        <w:t>时间：2021年01月14日至2021年01月20日上午08时00分至下午17时30分（北京时间，法定节假日除外）</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地点：登录</w:t>
      </w:r>
      <w:r>
        <w:rPr>
          <w:rFonts w:hint="eastAsia" w:ascii="方正仿宋简体" w:hAnsi="方正仿宋简体" w:eastAsia="方正仿宋简体" w:cs="方正仿宋简体"/>
          <w:b w:val="0"/>
          <w:bCs w:val="0"/>
          <w:color w:val="000000"/>
          <w:sz w:val="24"/>
          <w:szCs w:val="24"/>
          <w:lang w:val="en-US" w:eastAsia="zh-CN"/>
        </w:rPr>
        <w:fldChar w:fldCharType="begin"/>
      </w:r>
      <w:r>
        <w:rPr>
          <w:rFonts w:hint="eastAsia" w:ascii="方正仿宋简体" w:hAnsi="方正仿宋简体" w:eastAsia="方正仿宋简体" w:cs="方正仿宋简体"/>
          <w:b w:val="0"/>
          <w:bCs w:val="0"/>
          <w:color w:val="000000"/>
          <w:sz w:val="24"/>
          <w:szCs w:val="24"/>
          <w:lang w:val="en-US" w:eastAsia="zh-CN"/>
        </w:rPr>
        <w:instrText xml:space="preserve">AUTOTEXT  input421 \* MERGEFORMAT</w:instrText>
      </w:r>
      <w:r>
        <w:rPr>
          <w:rFonts w:hint="eastAsia" w:ascii="方正仿宋简体" w:hAnsi="方正仿宋简体" w:eastAsia="方正仿宋简体" w:cs="方正仿宋简体"/>
          <w:b w:val="0"/>
          <w:bCs w:val="0"/>
          <w:color w:val="000000"/>
          <w:sz w:val="24"/>
          <w:szCs w:val="24"/>
          <w:lang w:val="en-US" w:eastAsia="zh-CN"/>
        </w:rPr>
        <w:fldChar w:fldCharType="separate"/>
      </w:r>
      <w:r>
        <w:rPr>
          <w:rFonts w:hint="eastAsia" w:ascii="方正仿宋简体" w:hAnsi="方正仿宋简体" w:eastAsia="方正仿宋简体" w:cs="方正仿宋简体"/>
          <w:b w:val="0"/>
          <w:bCs w:val="0"/>
          <w:color w:val="000000"/>
          <w:sz w:val="24"/>
          <w:szCs w:val="24"/>
          <w:lang w:val="en-US" w:eastAsia="zh-CN"/>
        </w:rPr>
        <w:t>楚雄州公共资源交易电子服务系统</w:t>
      </w:r>
      <w:r>
        <w:rPr>
          <w:rFonts w:hint="eastAsia" w:ascii="方正仿宋简体" w:hAnsi="方正仿宋简体" w:eastAsia="方正仿宋简体" w:cs="方正仿宋简体"/>
          <w:b w:val="0"/>
          <w:bCs w:val="0"/>
          <w:color w:val="000000"/>
          <w:sz w:val="24"/>
          <w:szCs w:val="24"/>
          <w:lang w:val="en-US" w:eastAsia="zh-CN"/>
        </w:rPr>
        <w:fldChar w:fldCharType="end"/>
      </w:r>
      <w:r>
        <w:rPr>
          <w:rFonts w:hint="eastAsia" w:ascii="方正仿宋简体" w:hAnsi="方正仿宋简体" w:eastAsia="方正仿宋简体" w:cs="方正仿宋简体"/>
          <w:b w:val="0"/>
          <w:bCs w:val="0"/>
          <w:color w:val="000000"/>
          <w:sz w:val="24"/>
          <w:szCs w:val="24"/>
          <w:lang w:val="en-US" w:eastAsia="zh-CN"/>
        </w:rPr>
        <w:t>（网址：</w:t>
      </w:r>
      <w:r>
        <w:rPr>
          <w:rFonts w:hint="eastAsia" w:ascii="方正仿宋简体" w:hAnsi="方正仿宋简体" w:eastAsia="方正仿宋简体" w:cs="方正仿宋简体"/>
          <w:b w:val="0"/>
          <w:bCs w:val="0"/>
          <w:color w:val="000000"/>
          <w:sz w:val="24"/>
          <w:szCs w:val="24"/>
          <w:lang w:val="en-US" w:eastAsia="zh-CN"/>
        </w:rPr>
        <w:fldChar w:fldCharType="begin"/>
      </w:r>
      <w:r>
        <w:rPr>
          <w:rFonts w:hint="eastAsia" w:ascii="方正仿宋简体" w:hAnsi="方正仿宋简体" w:eastAsia="方正仿宋简体" w:cs="方正仿宋简体"/>
          <w:b w:val="0"/>
          <w:bCs w:val="0"/>
          <w:color w:val="000000"/>
          <w:sz w:val="24"/>
          <w:szCs w:val="24"/>
          <w:lang w:val="en-US" w:eastAsia="zh-CN"/>
        </w:rPr>
        <w:instrText xml:space="preserve">AUTOTEXT  input422 \* MERGEFORMAT</w:instrText>
      </w:r>
      <w:r>
        <w:rPr>
          <w:rFonts w:hint="eastAsia" w:ascii="方正仿宋简体" w:hAnsi="方正仿宋简体" w:eastAsia="方正仿宋简体" w:cs="方正仿宋简体"/>
          <w:b w:val="0"/>
          <w:bCs w:val="0"/>
          <w:color w:val="000000"/>
          <w:sz w:val="24"/>
          <w:szCs w:val="24"/>
          <w:lang w:val="en-US" w:eastAsia="zh-CN"/>
        </w:rPr>
        <w:fldChar w:fldCharType="separate"/>
      </w:r>
      <w:r>
        <w:rPr>
          <w:rFonts w:hint="eastAsia" w:ascii="方正仿宋简体" w:hAnsi="方正仿宋简体" w:eastAsia="方正仿宋简体" w:cs="方正仿宋简体"/>
          <w:b w:val="0"/>
          <w:bCs w:val="0"/>
          <w:color w:val="000000"/>
          <w:sz w:val="24"/>
          <w:szCs w:val="24"/>
          <w:lang w:val="en-US" w:eastAsia="zh-CN"/>
        </w:rPr>
        <w:t>http://www.cxggzy.cn/</w:t>
      </w:r>
      <w:r>
        <w:rPr>
          <w:rFonts w:hint="eastAsia" w:ascii="方正仿宋简体" w:hAnsi="方正仿宋简体" w:eastAsia="方正仿宋简体" w:cs="方正仿宋简体"/>
          <w:b w:val="0"/>
          <w:bCs w:val="0"/>
          <w:color w:val="000000"/>
          <w:sz w:val="24"/>
          <w:szCs w:val="24"/>
          <w:lang w:val="en-US" w:eastAsia="zh-CN"/>
        </w:rPr>
        <w:fldChar w:fldCharType="end"/>
      </w:r>
      <w:r>
        <w:rPr>
          <w:rFonts w:hint="eastAsia" w:ascii="方正仿宋简体" w:hAnsi="方正仿宋简体" w:eastAsia="方正仿宋简体" w:cs="方正仿宋简体"/>
          <w:b w:val="0"/>
          <w:bCs w:val="0"/>
          <w:color w:val="000000"/>
          <w:sz w:val="24"/>
          <w:szCs w:val="24"/>
          <w:lang w:val="en-US" w:eastAsia="zh-CN"/>
        </w:rPr>
        <w:t>），凭企业数字证书（CA）在网上进行报名，网上报名成功后，免费获取电子招标文件及其它招标资料。未办理企业数字证书（CA）的企业需要按照云南省公共资源交易电子认证的要求，办理企业数字证书（CA），并在</w:t>
      </w:r>
      <w:r>
        <w:rPr>
          <w:rFonts w:hint="eastAsia" w:ascii="方正仿宋简体" w:hAnsi="方正仿宋简体" w:eastAsia="方正仿宋简体" w:cs="方正仿宋简体"/>
          <w:b w:val="0"/>
          <w:bCs w:val="0"/>
          <w:color w:val="000000"/>
          <w:sz w:val="24"/>
          <w:szCs w:val="24"/>
          <w:lang w:val="en-US" w:eastAsia="zh-CN"/>
        </w:rPr>
        <w:fldChar w:fldCharType="begin"/>
      </w:r>
      <w:r>
        <w:rPr>
          <w:rFonts w:hint="eastAsia" w:ascii="方正仿宋简体" w:hAnsi="方正仿宋简体" w:eastAsia="方正仿宋简体" w:cs="方正仿宋简体"/>
          <w:b w:val="0"/>
          <w:bCs w:val="0"/>
          <w:color w:val="000000"/>
          <w:sz w:val="24"/>
          <w:szCs w:val="24"/>
          <w:lang w:val="en-US" w:eastAsia="zh-CN"/>
        </w:rPr>
        <w:instrText xml:space="preserve">AUTOTEXT  input423 \* MERGEFORMAT</w:instrText>
      </w:r>
      <w:r>
        <w:rPr>
          <w:rFonts w:hint="eastAsia" w:ascii="方正仿宋简体" w:hAnsi="方正仿宋简体" w:eastAsia="方正仿宋简体" w:cs="方正仿宋简体"/>
          <w:b w:val="0"/>
          <w:bCs w:val="0"/>
          <w:color w:val="000000"/>
          <w:sz w:val="24"/>
          <w:szCs w:val="24"/>
          <w:lang w:val="en-US" w:eastAsia="zh-CN"/>
        </w:rPr>
        <w:fldChar w:fldCharType="separate"/>
      </w:r>
      <w:r>
        <w:rPr>
          <w:rFonts w:hint="eastAsia" w:ascii="方正仿宋简体" w:hAnsi="方正仿宋简体" w:eastAsia="方正仿宋简体" w:cs="方正仿宋简体"/>
          <w:b w:val="0"/>
          <w:bCs w:val="0"/>
          <w:color w:val="000000"/>
          <w:sz w:val="24"/>
          <w:szCs w:val="24"/>
          <w:lang w:val="en-US" w:eastAsia="zh-CN"/>
        </w:rPr>
        <w:t>楚雄州公共资源交易电子服务系统</w:t>
      </w:r>
      <w:r>
        <w:rPr>
          <w:rFonts w:hint="eastAsia" w:ascii="方正仿宋简体" w:hAnsi="方正仿宋简体" w:eastAsia="方正仿宋简体" w:cs="方正仿宋简体"/>
          <w:b w:val="0"/>
          <w:bCs w:val="0"/>
          <w:color w:val="000000"/>
          <w:sz w:val="24"/>
          <w:szCs w:val="24"/>
          <w:lang w:val="en-US" w:eastAsia="zh-CN"/>
        </w:rPr>
        <w:fldChar w:fldCharType="end"/>
      </w:r>
      <w:r>
        <w:rPr>
          <w:rFonts w:hint="eastAsia" w:ascii="方正仿宋简体" w:hAnsi="方正仿宋简体" w:eastAsia="方正仿宋简体" w:cs="方正仿宋简体"/>
          <w:b w:val="0"/>
          <w:bCs w:val="0"/>
          <w:color w:val="000000"/>
          <w:sz w:val="24"/>
          <w:szCs w:val="24"/>
          <w:lang w:val="en-US" w:eastAsia="zh-CN"/>
        </w:rPr>
        <w:t>完成注册通过后，便可获取电子招标文件，此为获取招标文件的唯一途径。</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办理数字证书（USBKEY）联系电话：15758595225，北京筑龙信息技术有限责任公司，服务热线：400-961-8998/010-86483801，QQ:400-9618-998。(服务内容：文件编制以及网上交易技术支持）。</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方式：网上获取</w:t>
      </w:r>
    </w:p>
    <w:p>
      <w:pPr>
        <w:keepNext w:val="0"/>
        <w:keepLines w:val="0"/>
        <w:pageBreakBefore w:val="0"/>
        <w:kinsoku/>
        <w:wordWrap/>
        <w:overflowPunct/>
        <w:topLinePunct w:val="0"/>
        <w:autoSpaceDE/>
        <w:autoSpaceDN/>
        <w:bidi w:val="0"/>
        <w:adjustRightInd/>
        <w:snapToGrid w:val="0"/>
        <w:spacing w:after="0" w:line="240" w:lineRule="auto"/>
        <w:jc w:val="both"/>
        <w:textAlignment w:val="auto"/>
        <w:outlineLvl w:val="9"/>
        <w:rPr>
          <w:rFonts w:hint="eastAsia" w:ascii="方正仿宋简体" w:hAnsi="方正仿宋简体" w:eastAsia="方正仿宋简体" w:cs="方正仿宋简体"/>
          <w:b/>
          <w:bCs/>
          <w:color w:val="000000"/>
          <w:sz w:val="24"/>
          <w:szCs w:val="24"/>
          <w:lang w:val="en-US" w:eastAsia="zh-CN"/>
        </w:rPr>
      </w:pPr>
      <w:r>
        <w:rPr>
          <w:rFonts w:hint="eastAsia" w:ascii="方正仿宋简体" w:hAnsi="方正仿宋简体" w:eastAsia="方正仿宋简体" w:cs="方正仿宋简体"/>
          <w:b/>
          <w:bCs/>
          <w:color w:val="000000"/>
          <w:sz w:val="24"/>
          <w:szCs w:val="24"/>
          <w:lang w:val="en-US" w:eastAsia="zh-CN"/>
        </w:rPr>
        <w:t>四、提交投标文件截止时间和开标时间</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投标文件提交的截止时间（投标文件提交截止时间同为开标时间）：2021年02月05日09时00分（北京时间）。</w:t>
      </w:r>
    </w:p>
    <w:p>
      <w:pPr>
        <w:keepNext w:val="0"/>
        <w:keepLines w:val="0"/>
        <w:pageBreakBefore w:val="0"/>
        <w:kinsoku/>
        <w:wordWrap/>
        <w:overflowPunct/>
        <w:topLinePunct w:val="0"/>
        <w:autoSpaceDE/>
        <w:autoSpaceDN/>
        <w:bidi w:val="0"/>
        <w:adjustRightInd/>
        <w:snapToGrid w:val="0"/>
        <w:spacing w:after="0" w:line="240" w:lineRule="auto"/>
        <w:jc w:val="both"/>
        <w:textAlignment w:val="auto"/>
        <w:outlineLvl w:val="9"/>
        <w:rPr>
          <w:rFonts w:hint="eastAsia" w:ascii="方正仿宋简体" w:hAnsi="方正仿宋简体" w:eastAsia="方正仿宋简体" w:cs="方正仿宋简体"/>
          <w:b/>
          <w:bCs/>
          <w:color w:val="000000"/>
          <w:sz w:val="24"/>
          <w:szCs w:val="24"/>
          <w:lang w:val="en-US" w:eastAsia="zh-CN"/>
        </w:rPr>
      </w:pPr>
      <w:r>
        <w:rPr>
          <w:rFonts w:hint="eastAsia" w:ascii="方正仿宋简体" w:hAnsi="方正仿宋简体" w:eastAsia="方正仿宋简体" w:cs="方正仿宋简体"/>
          <w:b/>
          <w:bCs/>
          <w:color w:val="000000"/>
          <w:sz w:val="24"/>
          <w:szCs w:val="24"/>
          <w:lang w:val="en-US" w:eastAsia="zh-CN"/>
        </w:rPr>
        <w:t>五、公告期限</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bookmarkStart w:id="18" w:name="_Toc28359094"/>
      <w:bookmarkStart w:id="19" w:name="_Toc35393634"/>
      <w:bookmarkStart w:id="20" w:name="_Toc28359017"/>
      <w:bookmarkStart w:id="21" w:name="_Toc35393803"/>
      <w:r>
        <w:rPr>
          <w:rFonts w:hint="eastAsia" w:ascii="方正仿宋简体" w:hAnsi="方正仿宋简体" w:eastAsia="方正仿宋简体" w:cs="方正仿宋简体"/>
          <w:b w:val="0"/>
          <w:bCs w:val="0"/>
          <w:color w:val="000000"/>
          <w:sz w:val="24"/>
          <w:szCs w:val="24"/>
          <w:lang w:val="en-US" w:eastAsia="zh-CN"/>
        </w:rPr>
        <w:t>公告期限：2021年01月14日至2021年01月20日</w:t>
      </w:r>
    </w:p>
    <w:bookmarkEnd w:id="18"/>
    <w:bookmarkEnd w:id="19"/>
    <w:bookmarkEnd w:id="20"/>
    <w:bookmarkEnd w:id="21"/>
    <w:p>
      <w:pPr>
        <w:keepNext w:val="0"/>
        <w:keepLines w:val="0"/>
        <w:pageBreakBefore w:val="0"/>
        <w:kinsoku/>
        <w:wordWrap/>
        <w:overflowPunct/>
        <w:topLinePunct w:val="0"/>
        <w:autoSpaceDE/>
        <w:autoSpaceDN/>
        <w:bidi w:val="0"/>
        <w:adjustRightInd/>
        <w:snapToGrid w:val="0"/>
        <w:spacing w:after="0" w:line="240" w:lineRule="auto"/>
        <w:jc w:val="both"/>
        <w:textAlignment w:val="auto"/>
        <w:outlineLvl w:val="9"/>
        <w:rPr>
          <w:rFonts w:hint="eastAsia" w:ascii="方正仿宋简体" w:hAnsi="方正仿宋简体" w:eastAsia="方正仿宋简体" w:cs="方正仿宋简体"/>
          <w:b/>
          <w:bCs/>
          <w:color w:val="000000"/>
          <w:sz w:val="24"/>
          <w:szCs w:val="24"/>
          <w:lang w:val="en-US" w:eastAsia="zh-CN"/>
        </w:rPr>
      </w:pPr>
      <w:bookmarkStart w:id="22" w:name="_Toc35393635"/>
      <w:bookmarkStart w:id="23" w:name="_Toc35393804"/>
      <w:r>
        <w:rPr>
          <w:rFonts w:hint="eastAsia" w:ascii="方正仿宋简体" w:hAnsi="方正仿宋简体" w:eastAsia="方正仿宋简体" w:cs="方正仿宋简体"/>
          <w:b/>
          <w:bCs/>
          <w:color w:val="000000"/>
          <w:sz w:val="24"/>
          <w:szCs w:val="24"/>
          <w:lang w:val="en-US" w:eastAsia="zh-CN"/>
        </w:rPr>
        <w:t>六、其他补充事宜</w:t>
      </w:r>
      <w:bookmarkEnd w:id="22"/>
      <w:bookmarkEnd w:id="23"/>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一）投标文件提交方式：网上上传，网址为http://www.cxggzy.cn/，投标人须在投标截止时间前完成投标文件所有内容的上传。投标人根据拟要投标的项目，按照网上投标系统要求上传投标文件所有内容，投标文件上传后须自行检查投标文件的完整性并进行确认签名后，方可完成投标文件网上上传操作。投标人可自行打印“上传投标文件回执”。投标截止时间前未完成投标文件传输的，视为撤回投标文件。</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（二）开标地点：采用远程解密开标、现场解密开标两种方式，投标人可自行选择其中一种方式。</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1.远程解密开标：</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1）采用网上开标远程解密方式，开标时投标单位无需到现场出席开标会，也无需递交公司相关证书原件；各投标单位对上传的相关证件及证明资料真实性负责（确保上传的相关资料清晰可辨，如评标过程中，评标委员会无法辨别影响投标的，责任由投标人自行承担），如发现提供虚假材料的，一经查实取消投标资格，并依据相关法律、法规进行处罚；在到达开标时间之后投标人自行登录楚雄州公共资源交易电子服务系统（</w:t>
      </w:r>
      <w:r>
        <w:rPr>
          <w:rFonts w:hint="eastAsia" w:ascii="方正仿宋简体" w:hAnsi="方正仿宋简体" w:eastAsia="方正仿宋简体" w:cs="方正仿宋简体"/>
          <w:b w:val="0"/>
          <w:bCs w:val="0"/>
          <w:color w:val="000000"/>
          <w:sz w:val="24"/>
          <w:szCs w:val="24"/>
          <w:lang w:val="en-US" w:eastAsia="zh-CN"/>
        </w:rPr>
        <w:fldChar w:fldCharType="begin"/>
      </w:r>
      <w:r>
        <w:rPr>
          <w:rFonts w:hint="eastAsia" w:ascii="方正仿宋简体" w:hAnsi="方正仿宋简体" w:eastAsia="方正仿宋简体" w:cs="方正仿宋简体"/>
          <w:b w:val="0"/>
          <w:bCs w:val="0"/>
          <w:color w:val="000000"/>
          <w:sz w:val="24"/>
          <w:szCs w:val="24"/>
          <w:lang w:val="en-US" w:eastAsia="zh-CN"/>
        </w:rPr>
        <w:instrText xml:space="preserve"> HYPERLINK "http://www.cxggzy.cn/" </w:instrText>
      </w:r>
      <w:r>
        <w:rPr>
          <w:rFonts w:hint="eastAsia" w:ascii="方正仿宋简体" w:hAnsi="方正仿宋简体" w:eastAsia="方正仿宋简体" w:cs="方正仿宋简体"/>
          <w:b w:val="0"/>
          <w:bCs w:val="0"/>
          <w:color w:val="000000"/>
          <w:sz w:val="24"/>
          <w:szCs w:val="24"/>
          <w:lang w:val="en-US" w:eastAsia="zh-CN"/>
        </w:rPr>
        <w:fldChar w:fldCharType="separate"/>
      </w:r>
      <w:r>
        <w:rPr>
          <w:rFonts w:hint="eastAsia" w:ascii="方正仿宋简体" w:hAnsi="方正仿宋简体" w:eastAsia="方正仿宋简体" w:cs="方正仿宋简体"/>
          <w:b w:val="0"/>
          <w:bCs w:val="0"/>
          <w:color w:val="000000"/>
          <w:sz w:val="24"/>
          <w:szCs w:val="24"/>
          <w:lang w:val="en-US" w:eastAsia="zh-CN"/>
        </w:rPr>
        <w:t>http://www.cxggzy.cn</w:t>
      </w:r>
      <w:r>
        <w:rPr>
          <w:rFonts w:hint="eastAsia" w:ascii="方正仿宋简体" w:hAnsi="方正仿宋简体" w:eastAsia="方正仿宋简体" w:cs="方正仿宋简体"/>
          <w:b w:val="0"/>
          <w:bCs w:val="0"/>
          <w:color w:val="000000"/>
          <w:sz w:val="24"/>
          <w:szCs w:val="24"/>
          <w:lang w:val="en-US" w:eastAsia="zh-CN"/>
        </w:rPr>
        <w:fldChar w:fldCharType="end"/>
      </w:r>
      <w:r>
        <w:rPr>
          <w:rFonts w:hint="eastAsia" w:ascii="方正仿宋简体" w:hAnsi="方正仿宋简体" w:eastAsia="方正仿宋简体" w:cs="方正仿宋简体"/>
          <w:b w:val="0"/>
          <w:bCs w:val="0"/>
          <w:color w:val="000000"/>
          <w:sz w:val="24"/>
          <w:szCs w:val="24"/>
          <w:lang w:val="en-US" w:eastAsia="zh-CN"/>
        </w:rPr>
        <w:t>）点击【开标】下的【开标会】菜单，进入开标会界面，至投标截止时间后方能找到对应项目，点击项目后方的【进入】按钮进入开标室页面，进行系统自动签到（温馨提示：登录及电子签名时需要用企业CA锁，解密时需要用投标文件加密的CA锁，为了不频繁更换CA锁影响解密及签名确认，故建议投标文件加密时采用企业CA锁进行加密！）。</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2）开标系统下达网上解密指令后，投标单位点击上方【网上解密】进入网上解密界面，各投标单位必须在系统下达的时间内完成解密工作，由于自身原因解密失败的视为无效投标。招标人将不予接收其投标文件，一切责任由投标人自行负责。</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（3）开标过程中等全部投标单位解密成功唱标后投标单位如有问题，可以在线发起异议，点击右上角的【提出异议】按钮，填写异议详细内容之后进行提交，由招标代理机构给予对应的回复。</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4）在开标系统下达电子签名命令后,投标单位点击上方【签名确认】按钮进行签名确认，各投标单位必须在系统下达的时间内完成签名确认工作，签名确认成功之后，右下角方会出现“签名确认成功”提示，投标人的网上开标远程解密即操作完成。由于自身原因签名失败的视为无效投标，招标人将不予接收其投标文件，一切责任由投标人自行负责。</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（5）各投标人应当提前熟悉和掌握网上开标远程解密详细操作，操作步骤可登录楚雄州公共资源交易电子服务系统（</w:t>
      </w:r>
      <w:r>
        <w:rPr>
          <w:rFonts w:hint="eastAsia" w:ascii="方正仿宋简体" w:hAnsi="方正仿宋简体" w:eastAsia="方正仿宋简体" w:cs="方正仿宋简体"/>
          <w:b w:val="0"/>
          <w:bCs w:val="0"/>
          <w:color w:val="000000"/>
          <w:sz w:val="24"/>
          <w:szCs w:val="24"/>
          <w:lang w:val="en-US" w:eastAsia="zh-CN"/>
        </w:rPr>
        <w:fldChar w:fldCharType="begin"/>
      </w:r>
      <w:r>
        <w:rPr>
          <w:rFonts w:hint="eastAsia" w:ascii="方正仿宋简体" w:hAnsi="方正仿宋简体" w:eastAsia="方正仿宋简体" w:cs="方正仿宋简体"/>
          <w:b w:val="0"/>
          <w:bCs w:val="0"/>
          <w:color w:val="000000"/>
          <w:sz w:val="24"/>
          <w:szCs w:val="24"/>
          <w:lang w:val="en-US" w:eastAsia="zh-CN"/>
        </w:rPr>
        <w:instrText xml:space="preserve"> HYPERLINK "http://www.cxggzy.cn/" </w:instrText>
      </w:r>
      <w:r>
        <w:rPr>
          <w:rFonts w:hint="eastAsia" w:ascii="方正仿宋简体" w:hAnsi="方正仿宋简体" w:eastAsia="方正仿宋简体" w:cs="方正仿宋简体"/>
          <w:b w:val="0"/>
          <w:bCs w:val="0"/>
          <w:color w:val="000000"/>
          <w:sz w:val="24"/>
          <w:szCs w:val="24"/>
          <w:lang w:val="en-US" w:eastAsia="zh-CN"/>
        </w:rPr>
        <w:fldChar w:fldCharType="separate"/>
      </w:r>
      <w:r>
        <w:rPr>
          <w:rFonts w:hint="eastAsia" w:ascii="方正仿宋简体" w:hAnsi="方正仿宋简体" w:eastAsia="方正仿宋简体" w:cs="方正仿宋简体"/>
          <w:b w:val="0"/>
          <w:bCs w:val="0"/>
          <w:color w:val="000000"/>
          <w:sz w:val="24"/>
          <w:szCs w:val="24"/>
          <w:lang w:val="en-US" w:eastAsia="zh-CN"/>
        </w:rPr>
        <w:t>http://www.cxggzy.cn</w:t>
      </w:r>
      <w:r>
        <w:rPr>
          <w:rFonts w:hint="eastAsia" w:ascii="方正仿宋简体" w:hAnsi="方正仿宋简体" w:eastAsia="方正仿宋简体" w:cs="方正仿宋简体"/>
          <w:b w:val="0"/>
          <w:bCs w:val="0"/>
          <w:color w:val="000000"/>
          <w:sz w:val="24"/>
          <w:szCs w:val="24"/>
          <w:lang w:val="en-US" w:eastAsia="zh-CN"/>
        </w:rPr>
        <w:fldChar w:fldCharType="end"/>
      </w:r>
      <w:r>
        <w:rPr>
          <w:rFonts w:hint="eastAsia" w:ascii="方正仿宋简体" w:hAnsi="方正仿宋简体" w:eastAsia="方正仿宋简体" w:cs="方正仿宋简体"/>
          <w:b w:val="0"/>
          <w:bCs w:val="0"/>
          <w:color w:val="000000"/>
          <w:sz w:val="24"/>
          <w:szCs w:val="24"/>
          <w:lang w:val="en-US" w:eastAsia="zh-CN"/>
        </w:rPr>
        <w:t>）到“服务指南-中心指南”中下载《楚雄州网上开标远程解密操作指南（投标方）》。</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（6）开标当天投标人或供应商无法正常登录系统、无法正常解密应及时联系筑龙客服说明问题并请求远程协助检查确认问题，同时联系招标人、代理机构说明情况。</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（7）未按规定缴纳投标保证金的投标文件，不予受理。</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2.现场解密开标：</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地点：牟定县公共资源交易中心四楼开标室</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（三）本次采购公告在云南省政府采购网、楚雄州公共资源交易电子服务系统上发布，采购人及代理机构对其他网站或媒体转载的公告及公告内容不承担任何责任。</w:t>
      </w:r>
      <w:bookmarkStart w:id="24" w:name="_Toc35393805"/>
      <w:bookmarkStart w:id="25" w:name="_Toc28359018"/>
      <w:bookmarkStart w:id="26" w:name="_Toc28359095"/>
      <w:bookmarkStart w:id="27" w:name="_Toc35393636"/>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 xml:space="preserve"> （四）投标保证金</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default"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w:t>
      </w:r>
      <w:r>
        <w:rPr>
          <w:rFonts w:hint="eastAsia" w:ascii="方正仿宋简体" w:hAnsi="方正仿宋简体" w:eastAsia="方正仿宋简体" w:cs="方正仿宋简体"/>
          <w:b w:val="0"/>
          <w:bCs w:val="0"/>
          <w:color w:val="000000"/>
          <w:sz w:val="24"/>
          <w:szCs w:val="24"/>
          <w:lang w:val="en-US" w:eastAsia="zh-CN"/>
        </w:rPr>
        <w:t>1）投标保证金金额：A包人民币</w:t>
      </w:r>
      <w:r>
        <w:rPr>
          <w:rFonts w:hint="default" w:ascii="方正仿宋简体" w:hAnsi="方正仿宋简体" w:eastAsia="方正仿宋简体" w:cs="方正仿宋简体"/>
          <w:b w:val="0"/>
          <w:bCs w:val="0"/>
          <w:color w:val="000000"/>
          <w:sz w:val="24"/>
          <w:szCs w:val="24"/>
          <w:lang w:val="en-US" w:eastAsia="zh-CN"/>
        </w:rPr>
        <w:t>¥</w:t>
      </w:r>
      <w:r>
        <w:rPr>
          <w:rFonts w:hint="eastAsia" w:ascii="方正仿宋简体" w:hAnsi="方正仿宋简体" w:eastAsia="方正仿宋简体" w:cs="方正仿宋简体"/>
          <w:b w:val="0"/>
          <w:bCs w:val="0"/>
          <w:color w:val="000000"/>
          <w:sz w:val="24"/>
          <w:szCs w:val="24"/>
          <w:lang w:val="en-US" w:eastAsia="zh-CN"/>
        </w:rPr>
        <w:t>12000.00元（大写：壹万贰仟元整）；B包人民币</w:t>
      </w:r>
      <w:r>
        <w:rPr>
          <w:rFonts w:hint="default" w:ascii="方正仿宋简体" w:hAnsi="方正仿宋简体" w:eastAsia="方正仿宋简体" w:cs="方正仿宋简体"/>
          <w:b w:val="0"/>
          <w:bCs w:val="0"/>
          <w:color w:val="000000"/>
          <w:sz w:val="24"/>
          <w:szCs w:val="24"/>
          <w:lang w:val="en-US" w:eastAsia="zh-CN"/>
        </w:rPr>
        <w:t>¥</w:t>
      </w:r>
      <w:r>
        <w:rPr>
          <w:rFonts w:hint="eastAsia" w:ascii="方正仿宋简体" w:hAnsi="方正仿宋简体" w:eastAsia="方正仿宋简体" w:cs="方正仿宋简体"/>
          <w:b w:val="0"/>
          <w:bCs w:val="0"/>
          <w:color w:val="000000"/>
          <w:sz w:val="24"/>
          <w:szCs w:val="24"/>
          <w:lang w:val="en-US" w:eastAsia="zh-CN"/>
        </w:rPr>
        <w:t>1000.00元（大写：壹仟元整）；</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bookmarkStart w:id="398" w:name="_GoBack"/>
      <w:bookmarkEnd w:id="398"/>
      <w:r>
        <w:rPr>
          <w:rFonts w:hint="eastAsia" w:ascii="方正仿宋简体" w:hAnsi="方正仿宋简体" w:eastAsia="方正仿宋简体" w:cs="方正仿宋简体"/>
          <w:color w:val="000000"/>
          <w:sz w:val="24"/>
          <w:szCs w:val="24"/>
          <w:lang w:val="en-US" w:eastAsia="zh-CN"/>
        </w:rPr>
        <w:t>投标人必须在2021年02月05日上午09时00分前，将投标保证金由公司基本账户汇款至云南诚昱招标代理有限公司，不得以分公司、办事处或其他机构的名义汇入，投标人在缴纳保证金时，须在银行汇票备注栏中写明</w:t>
      </w:r>
      <w:r>
        <w:rPr>
          <w:rFonts w:hint="eastAsia" w:ascii="方正仿宋简体" w:hAnsi="方正仿宋简体" w:eastAsia="方正仿宋简体" w:cs="方正仿宋简体"/>
          <w:b w:val="0"/>
          <w:bCs w:val="0"/>
          <w:color w:val="000000"/>
          <w:sz w:val="24"/>
          <w:szCs w:val="24"/>
          <w:lang w:val="en-US" w:eastAsia="zh-CN"/>
        </w:rPr>
        <w:t>4532323JH202100011</w:t>
      </w:r>
      <w:r>
        <w:rPr>
          <w:rFonts w:hint="eastAsia" w:ascii="方正仿宋简体" w:hAnsi="方正仿宋简体" w:eastAsia="方正仿宋简体" w:cs="方正仿宋简体"/>
          <w:color w:val="000000"/>
          <w:sz w:val="24"/>
          <w:szCs w:val="24"/>
          <w:lang w:val="en-US" w:eastAsia="zh-CN"/>
        </w:rPr>
        <w:t>项目（ 包）投标保证金，银行汇款凭证是投标文件的重要组成部分。</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（3）保证金缴纳的银行及账号如下：</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开户名称：云南诚昱招标代理有限公司</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开户银行：中国建设银行股份有限公司牟定支行</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银行账号：5305 0170 7836 0000 0126</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联系电话：0878-5226466/13577829298</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color w:val="000000"/>
          <w:sz w:val="24"/>
          <w:szCs w:val="24"/>
          <w:lang w:val="en-US" w:eastAsia="zh-CN"/>
        </w:rPr>
      </w:pPr>
      <w:r>
        <w:rPr>
          <w:rFonts w:hint="default" w:ascii="Calibri" w:hAnsi="Calibri" w:eastAsia="方正仿宋简体" w:cs="Calibri"/>
          <w:color w:val="000000"/>
          <w:sz w:val="24"/>
          <w:szCs w:val="24"/>
          <w:lang w:val="en-US" w:eastAsia="zh-CN"/>
        </w:rPr>
        <w:t>①</w:t>
      </w:r>
      <w:r>
        <w:rPr>
          <w:rFonts w:hint="eastAsia" w:ascii="方正仿宋简体" w:hAnsi="方正仿宋简体" w:eastAsia="方正仿宋简体" w:cs="方正仿宋简体"/>
          <w:color w:val="000000"/>
          <w:sz w:val="24"/>
          <w:szCs w:val="24"/>
          <w:lang w:val="en-US" w:eastAsia="zh-CN"/>
        </w:rPr>
        <w:t>未按规定提交投标保证金的，将被视为无效投标；</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color w:val="000000"/>
          <w:sz w:val="24"/>
          <w:szCs w:val="24"/>
          <w:lang w:val="en-US" w:eastAsia="zh-CN"/>
        </w:rPr>
      </w:pPr>
      <w:r>
        <w:rPr>
          <w:rFonts w:hint="default" w:ascii="Calibri" w:hAnsi="Calibri" w:eastAsia="方正仿宋简体" w:cs="Calibri"/>
          <w:color w:val="000000"/>
          <w:sz w:val="24"/>
          <w:szCs w:val="24"/>
          <w:lang w:val="en-US" w:eastAsia="zh-CN"/>
        </w:rPr>
        <w:t>②</w:t>
      </w:r>
      <w:r>
        <w:rPr>
          <w:rFonts w:hint="eastAsia" w:ascii="方正仿宋简体" w:hAnsi="方正仿宋简体" w:eastAsia="方正仿宋简体" w:cs="方正仿宋简体"/>
          <w:color w:val="000000"/>
          <w:sz w:val="24"/>
          <w:szCs w:val="24"/>
          <w:lang w:val="en-US" w:eastAsia="zh-CN"/>
        </w:rPr>
        <w:t>未中标的投标人的投标保证金，将于定标后按投标人提供的退款信息退还；</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color w:val="000000"/>
          <w:sz w:val="24"/>
          <w:szCs w:val="24"/>
          <w:lang w:val="en-US" w:eastAsia="zh-CN"/>
        </w:rPr>
      </w:pPr>
      <w:r>
        <w:rPr>
          <w:rFonts w:hint="default" w:ascii="Calibri" w:hAnsi="Calibri" w:eastAsia="方正仿宋简体" w:cs="Calibri"/>
          <w:color w:val="000000"/>
          <w:sz w:val="24"/>
          <w:szCs w:val="24"/>
          <w:lang w:val="en-US" w:eastAsia="zh-CN"/>
        </w:rPr>
        <w:t>③</w:t>
      </w:r>
      <w:r>
        <w:rPr>
          <w:rFonts w:hint="eastAsia" w:ascii="方正仿宋简体" w:hAnsi="方正仿宋简体" w:eastAsia="方正仿宋简体" w:cs="方正仿宋简体"/>
          <w:color w:val="000000"/>
          <w:sz w:val="24"/>
          <w:szCs w:val="24"/>
          <w:lang w:val="en-US" w:eastAsia="zh-CN"/>
        </w:rPr>
        <w:t>中标的投标人的投标保证金，签订合同后退还。</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因发生质疑、投诉或有关部门立案调查，保证金暂不退还，待调查处理结案后，按照有关规定办理。</w:t>
      </w:r>
    </w:p>
    <w:bookmarkEnd w:id="24"/>
    <w:bookmarkEnd w:id="25"/>
    <w:bookmarkEnd w:id="26"/>
    <w:bookmarkEnd w:id="27"/>
    <w:p>
      <w:pPr>
        <w:keepNext w:val="0"/>
        <w:keepLines w:val="0"/>
        <w:pageBreakBefore w:val="0"/>
        <w:kinsoku/>
        <w:wordWrap/>
        <w:overflowPunct/>
        <w:topLinePunct w:val="0"/>
        <w:autoSpaceDE/>
        <w:autoSpaceDN/>
        <w:bidi w:val="0"/>
        <w:adjustRightInd/>
        <w:snapToGrid w:val="0"/>
        <w:spacing w:after="0" w:line="240" w:lineRule="auto"/>
        <w:jc w:val="both"/>
        <w:textAlignment w:val="auto"/>
        <w:outlineLvl w:val="9"/>
        <w:rPr>
          <w:rFonts w:hint="eastAsia" w:ascii="方正仿宋简体" w:hAnsi="方正仿宋简体" w:eastAsia="方正仿宋简体" w:cs="方正仿宋简体"/>
          <w:b/>
          <w:bCs/>
          <w:color w:val="000000"/>
          <w:sz w:val="24"/>
          <w:szCs w:val="24"/>
          <w:lang w:val="en-US" w:eastAsia="zh-CN"/>
        </w:rPr>
      </w:pPr>
      <w:bookmarkStart w:id="28" w:name="_Toc28359085"/>
      <w:bookmarkStart w:id="29" w:name="_Toc28359008"/>
      <w:bookmarkStart w:id="30" w:name="_Toc35393796"/>
      <w:bookmarkStart w:id="31" w:name="_Toc35393627"/>
      <w:r>
        <w:rPr>
          <w:rFonts w:hint="eastAsia" w:ascii="方正仿宋简体" w:hAnsi="方正仿宋简体" w:eastAsia="方正仿宋简体" w:cs="方正仿宋简体"/>
          <w:b/>
          <w:bCs/>
          <w:color w:val="000000"/>
          <w:sz w:val="24"/>
          <w:szCs w:val="24"/>
          <w:lang w:val="en-US" w:eastAsia="zh-CN"/>
        </w:rPr>
        <w:t>七、对本次招标提出询问，请按以下方式联系</w:t>
      </w:r>
      <w:bookmarkEnd w:id="28"/>
      <w:bookmarkEnd w:id="29"/>
      <w:bookmarkEnd w:id="30"/>
      <w:bookmarkEnd w:id="31"/>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（一）采购人信息</w:t>
      </w:r>
      <w:bookmarkEnd w:id="13"/>
      <w:bookmarkEnd w:id="14"/>
      <w:bookmarkEnd w:id="15"/>
      <w:bookmarkEnd w:id="16"/>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名称：牟定县农业农村局</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地址：牟定县城茅阳路</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联系人：李世钦</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default"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联系方式：15987238969</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（二）采购代理机构信息</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名称：云南诚昱招标代理有限公司</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联系地址：牟定县化湖人家26幢4号</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电话：13887884040/0878-5226466</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（三）项目联系方式</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4"/>
          <w:szCs w:val="24"/>
          <w:lang w:val="en-US" w:eastAsia="zh-CN"/>
        </w:rPr>
      </w:pPr>
      <w:r>
        <w:rPr>
          <w:rFonts w:hint="eastAsia" w:ascii="方正仿宋简体" w:hAnsi="方正仿宋简体" w:eastAsia="方正仿宋简体" w:cs="方正仿宋简体"/>
          <w:b w:val="0"/>
          <w:bCs w:val="0"/>
          <w:color w:val="000000"/>
          <w:sz w:val="24"/>
          <w:szCs w:val="24"/>
          <w:lang w:val="en-US" w:eastAsia="zh-CN"/>
        </w:rPr>
        <w:t>项目联系人：陈宗友</w:t>
      </w:r>
    </w:p>
    <w:p>
      <w:pPr>
        <w:keepNext w:val="0"/>
        <w:keepLines w:val="0"/>
        <w:pageBreakBefore w:val="0"/>
        <w:kinsoku/>
        <w:wordWrap/>
        <w:overflowPunct/>
        <w:topLinePunct w:val="0"/>
        <w:autoSpaceDE/>
        <w:autoSpaceDN/>
        <w:bidi w:val="0"/>
        <w:adjustRightInd/>
        <w:snapToGrid w:val="0"/>
        <w:spacing w:after="0" w:line="240" w:lineRule="auto"/>
        <w:ind w:firstLine="480" w:firstLineChars="200"/>
        <w:jc w:val="both"/>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4"/>
          <w:szCs w:val="24"/>
          <w:lang w:val="en-US" w:eastAsia="zh-CN"/>
        </w:rPr>
        <w:t>电话：13887884040</w:t>
      </w:r>
      <w:bookmarkEnd w:id="12"/>
      <w:bookmarkEnd w:id="17"/>
    </w:p>
    <w:p>
      <w:pPr>
        <w:spacing w:line="360" w:lineRule="auto"/>
        <w:rPr>
          <w:rFonts w:hint="eastAsia" w:ascii="华文宋体" w:hAnsi="华文宋体" w:eastAsia="华文宋体" w:cs="Times New Roman"/>
          <w:sz w:val="21"/>
          <w:szCs w:val="21"/>
        </w:rPr>
      </w:pPr>
      <w:r>
        <w:rPr>
          <w:rFonts w:hint="eastAsia" w:ascii="华文宋体" w:hAnsi="华文宋体" w:eastAsia="华文宋体" w:cs="Times New Roman"/>
          <w:sz w:val="21"/>
          <w:szCs w:val="21"/>
        </w:rPr>
        <w:br w:type="page"/>
      </w:r>
    </w:p>
    <w:p>
      <w:pPr>
        <w:pStyle w:val="3"/>
        <w:rPr>
          <w:rFonts w:hint="eastAsia" w:ascii="方正仿宋简体" w:hAnsi="方正仿宋简体" w:eastAsia="方正仿宋简体" w:cs="方正仿宋简体"/>
          <w:b/>
          <w:bCs/>
          <w:color w:val="000000" w:themeColor="text1"/>
          <w:kern w:val="2"/>
          <w:sz w:val="30"/>
          <w:szCs w:val="30"/>
          <w:lang w:val="en-US" w:eastAsia="zh-CN" w:bidi="ar-SA"/>
          <w14:textFill>
            <w14:solidFill>
              <w14:schemeClr w14:val="tx1"/>
            </w14:solidFill>
          </w14:textFill>
        </w:rPr>
      </w:pPr>
      <w:bookmarkStart w:id="32" w:name="_Toc1885"/>
      <w:bookmarkStart w:id="33" w:name="_Toc30599763"/>
      <w:bookmarkStart w:id="34" w:name="_Toc30514549"/>
      <w:r>
        <w:rPr>
          <w:rFonts w:hint="eastAsia" w:ascii="方正仿宋简体" w:hAnsi="方正仿宋简体" w:eastAsia="方正仿宋简体" w:cs="方正仿宋简体"/>
          <w:b/>
          <w:bCs/>
          <w:color w:val="000000" w:themeColor="text1"/>
          <w:kern w:val="2"/>
          <w:sz w:val="30"/>
          <w:szCs w:val="30"/>
          <w:lang w:val="en-US" w:eastAsia="zh-CN" w:bidi="ar-SA"/>
          <w14:textFill>
            <w14:solidFill>
              <w14:schemeClr w14:val="tx1"/>
            </w14:solidFill>
          </w14:textFill>
        </w:rPr>
        <w:t>第二章 投标人须知</w:t>
      </w:r>
      <w:bookmarkEnd w:id="32"/>
      <w:bookmarkEnd w:id="33"/>
      <w:bookmarkEnd w:id="34"/>
    </w:p>
    <w:p>
      <w:pPr>
        <w:pStyle w:val="4"/>
        <w:spacing w:line="240" w:lineRule="auto"/>
        <w:rPr>
          <w:rFonts w:hint="eastAsia" w:ascii="方正仿宋简体" w:hAnsi="方正仿宋简体" w:eastAsia="方正仿宋简体" w:cs="方正仿宋简体"/>
          <w:b/>
          <w:bCs/>
          <w:color w:val="000000" w:themeColor="text1"/>
          <w:kern w:val="2"/>
          <w:sz w:val="30"/>
          <w:szCs w:val="30"/>
          <w:lang w:val="en-US" w:eastAsia="zh-CN" w:bidi="ar-SA"/>
          <w14:textFill>
            <w14:solidFill>
              <w14:schemeClr w14:val="tx1"/>
            </w14:solidFill>
          </w14:textFill>
        </w:rPr>
      </w:pPr>
      <w:bookmarkStart w:id="35" w:name="_Toc30514550"/>
      <w:bookmarkStart w:id="36" w:name="_Toc435016789"/>
      <w:bookmarkStart w:id="37" w:name="_Toc30599764"/>
      <w:bookmarkStart w:id="38" w:name="_Toc6406"/>
      <w:bookmarkStart w:id="39" w:name="_Toc21905"/>
      <w:bookmarkStart w:id="40" w:name="_Toc395964992"/>
      <w:bookmarkStart w:id="41" w:name="_Toc22104677"/>
      <w:r>
        <w:rPr>
          <w:rFonts w:hint="eastAsia" w:ascii="方正仿宋简体" w:hAnsi="方正仿宋简体" w:eastAsia="方正仿宋简体" w:cs="方正仿宋简体"/>
          <w:b/>
          <w:bCs/>
          <w:color w:val="000000" w:themeColor="text1"/>
          <w:kern w:val="2"/>
          <w:sz w:val="30"/>
          <w:szCs w:val="30"/>
          <w:lang w:val="en-US" w:eastAsia="zh-CN" w:bidi="ar-SA"/>
          <w14:textFill>
            <w14:solidFill>
              <w14:schemeClr w14:val="tx1"/>
            </w14:solidFill>
          </w14:textFill>
        </w:rPr>
        <w:t>（一）投标人须知前附表</w:t>
      </w:r>
      <w:bookmarkEnd w:id="35"/>
      <w:bookmarkEnd w:id="36"/>
      <w:bookmarkEnd w:id="37"/>
      <w:bookmarkEnd w:id="38"/>
      <w:bookmarkEnd w:id="39"/>
      <w:bookmarkEnd w:id="40"/>
      <w:bookmarkEnd w:id="41"/>
    </w:p>
    <w:tbl>
      <w:tblPr>
        <w:tblStyle w:val="16"/>
        <w:tblpPr w:leftFromText="180" w:rightFromText="180" w:vertAnchor="text" w:horzAnchor="page" w:tblpX="1542" w:tblpY="498"/>
        <w:tblOverlap w:val="never"/>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268"/>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blHeader/>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条款号</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ind w:firstLine="420" w:firstLineChars="200"/>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条 款 名 称</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ind w:firstLine="420" w:firstLineChars="200"/>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1.2</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采购人</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名  称：牟定县农业农村局</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地  址：牟定县茅阳路</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default"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联系方式：15987238969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420" w:firstLineChars="200"/>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采购代理机构</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名   称：云南诚昱招标代理有限公司</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地   址：牟定县化湖人家26幢4号</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项目联系人：陈宗友</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default"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联系方式：13887884040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420" w:firstLineChars="200"/>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项目名称</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sz w:val="21"/>
                <w:szCs w:val="21"/>
                <w:lang w:val="en-US" w:eastAsia="zh-CN"/>
              </w:rPr>
              <w:t>牟定县农业农村局2021年春秋季动物防疫疫苗采购项目（A包、B包）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420" w:firstLineChars="200"/>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招标编号（项目编号）</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default"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sz w:val="21"/>
                <w:szCs w:val="21"/>
                <w:lang w:val="en-US" w:eastAsia="zh-CN"/>
              </w:rPr>
              <w:t>4532323JH202100011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ind w:firstLine="420" w:firstLineChars="200"/>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项目预算</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66.80万元（各包采购</w:t>
            </w:r>
            <w:r>
              <w:rPr>
                <w:rFonts w:hint="eastAsia" w:ascii="方正仿宋简体" w:hAnsi="方正仿宋简体" w:eastAsia="方正仿宋简体" w:cs="方正仿宋简体"/>
                <w:b w:val="0"/>
                <w:bCs w:val="0"/>
                <w:color w:val="000000"/>
                <w:sz w:val="18"/>
                <w:szCs w:val="18"/>
                <w:lang w:val="en-US" w:eastAsia="zh-CN"/>
              </w:rPr>
              <w:t>最高限价详见采购公告</w:t>
            </w: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3.1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ind w:firstLine="420" w:firstLineChars="200"/>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资金来源</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default"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楚财农[2020]184号文件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3.2</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ind w:firstLine="420" w:firstLineChars="200"/>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交货时间</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sz w:val="21"/>
                <w:szCs w:val="21"/>
                <w:lang w:val="en-US" w:eastAsia="zh-CN"/>
              </w:rPr>
              <w:t>在合同签订后由招标人提前15天通知中标人按招标人需求完成所有货物的供货和验收，并交付给采购人正常使用（具体交货时间按采购合同的要求办理）。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3.3</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ind w:firstLine="420" w:firstLineChars="200"/>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招标范围</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详细见“第六章 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3.4</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ind w:firstLine="420" w:firstLineChars="200"/>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质量标准</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符合国家相关要求及行业规范标准，一次性验收合格。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4.2</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投标人特定条件★</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（一）满足《中华人民共和国政府采购法》第二十二条规定:</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1.具有独立承担民事责任的能力：提供法人或者其他组织的营业执照等证明文件。</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2.具有良好的商业信誉和健全的财务会计制度：提供近三年其中任意一年经会计师事务所或审计机构出具的财务报表及审计报告或提供银行出具的资信证明；投标人为新注册的（投标文件递交时间止成立未满一年的）提供近期其中任意一个月的财务状况报表。</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3.具有履行合同所必需的设备和专业技术能力：提供合同所必需的设备、工具和专业技术人员的相关材料。</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4.有依法缴纳税收和社会保障资金的良好记录：提供最近三个月缴纳税收和社保的凭证；如依法免税或不需要缴纳社会保障资金的，应提供相应文件证明。</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5.参加政府采购活动前三年内，在经营活动中没有重大违法记录。</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6.法律、行政法规规定的其他条件：</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（1）到投标截止时间止，未被“信用中国”网站（www.creditchina.gov.cn）中列入失信被执行人和重大税收违法案件当事人名单（处罚期限尚未届满的）。</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（2）到投标截止时间止，未被“中国政府采购网”网站（www.ccgp.gov.cn）列入政府采购严重违法失信行为记录名单（处罚期限尚未届满的）。</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（二）落实政府采购政策需满足的资格要求：无。</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（三）本项目的特定资格要求：</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1.投标产品的生产厂家必须是农业部的定点生产企业；并通过农业部GMP认证、或有销售资质的经销商（必须获得省农业厅生物制品GSP认证的企业），具有兽药生产许可证或兽药经营许可证；</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2.供应商所投标产品须有正式有效的批准文号和2019年12月1日至本项目投标截止日期前出具的（供应商出具连续3个批次）检验报告（指由中国兽医药品监察所审核意见的《兽用生物制品生产与检验报告》）；</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3. 所投产品必须具有农业部颁发的国家兽药生产许可证或兽药经营许可证；</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4.所投产品必须具有农业部兽药产品批准文号；</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5.不接受进口产品投标。</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sz w:val="21"/>
                <w:szCs w:val="21"/>
                <w:lang w:val="en-US" w:eastAsia="zh-CN"/>
              </w:rPr>
              <w:t>满足以上资格要求的供应商可以对以上合同包同时投标。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7</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招标文件澄清联系方式</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澄清联系人：陈宗友</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default"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电话：13887884040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7.1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投标人要求澄清招标文件的截止时间</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7.2</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投标截止时间（投标文件上传的截止时间）</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default"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auto"/>
                <w:sz w:val="21"/>
                <w:szCs w:val="21"/>
                <w:lang w:val="en-US" w:eastAsia="zh-CN"/>
              </w:rPr>
              <w:t>2021年02月05日09时00分前。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8.4. 1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投标文件制作要求</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1.为保证招投标工作顺利进行，请务必使用《云南省政府采购投标文件编制系统》 (详细操作步骤请登录http://www.cxggzy.cn/到“下载专区--工具下载”中下载《云南省产品管理工具》，使用“筑龙产品管理工具”中的云南-省本级，政府采购投标工具)制作，电子标书最终生成格式为*. ZCTBJ。</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在编制标投标文件时，粘贴图片建议使用JPG格式的文件，并且每张图片的分辩率建议大于100dpi（注意在制作投标文件中压缩后导致图片清晰度降低，影响投标），最终的每份标书文件所占用的磁盘空间必须小于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8.4.2</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电子投标文件格式</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电子投标文件的制作应使用《云南省政府采购投标文件编制系统》，生成电子签名的投标文件，格式为*. ZCTBJ。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8.4.3</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投标文件的签署</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按照投标文件格式，采用企业、法定代表人电子签章及数字证书电子签名（部分格式除外）。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11.1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有效期</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递交投标文件的截止日期后90天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12.1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投标保证金</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保证金金额：</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default"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A包人民币</w:t>
            </w:r>
            <w:r>
              <w:rPr>
                <w:rFonts w:hint="default" w:ascii="方正仿宋简体" w:hAnsi="方正仿宋简体" w:eastAsia="方正仿宋简体" w:cs="方正仿宋简体"/>
                <w:color w:val="000000" w:themeColor="text1"/>
                <w:sz w:val="21"/>
                <w:szCs w:val="21"/>
                <w:lang w:val="en-US" w:eastAsia="zh-CN"/>
                <w14:textFill>
                  <w14:solidFill>
                    <w14:schemeClr w14:val="tx1"/>
                  </w14:solidFill>
                </w14:textFill>
              </w:rPr>
              <w:t>¥</w:t>
            </w: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12000.00元（大写：壹万贰仟元整）；B包人民币</w:t>
            </w:r>
            <w:r>
              <w:rPr>
                <w:rFonts w:hint="default" w:ascii="方正仿宋简体" w:hAnsi="方正仿宋简体" w:eastAsia="方正仿宋简体" w:cs="方正仿宋简体"/>
                <w:color w:val="000000" w:themeColor="text1"/>
                <w:sz w:val="21"/>
                <w:szCs w:val="21"/>
                <w:lang w:val="en-US" w:eastAsia="zh-CN"/>
                <w14:textFill>
                  <w14:solidFill>
                    <w14:schemeClr w14:val="tx1"/>
                  </w14:solidFill>
                </w14:textFill>
              </w:rPr>
              <w:t>¥</w:t>
            </w: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1000.00元（大写：壹仟元整）。</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投标人必须在投标文件递交的截止时间前将投标保证金由公司基本账户汇款至云南诚昱招标代理有限公司账户，不得以分公司、办事处或其他机构的名义汇入，投标人在缴纳保证金时，须在银行汇票备注栏中写明</w:t>
            </w:r>
            <w:r>
              <w:rPr>
                <w:rFonts w:hint="eastAsia" w:ascii="方正仿宋简体" w:hAnsi="方正仿宋简体" w:eastAsia="方正仿宋简体" w:cs="方正仿宋简体"/>
                <w:b w:val="0"/>
                <w:bCs w:val="0"/>
                <w:color w:val="000000"/>
                <w:sz w:val="21"/>
                <w:szCs w:val="21"/>
                <w:lang w:val="en-US" w:eastAsia="zh-CN"/>
              </w:rPr>
              <w:t>4532323JH202100011</w:t>
            </w: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项目（ 包）投标保证金。未交纳投标保证金的投标人的投标文件按被废标处理。</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保证金缴纳的银行及账号如下：</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账户名称：云南诚昱招标代理有限公司</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开户银行：中国建设银行股份有限公司牟定支行</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银行账号：5305 0170 7836 0000 0126</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交款方式：投标保证金缴纳不接受现金，采取电汇或网银转账。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13.1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投标文件提交及有关内容</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网上上传：网上上传网址为http://www.cxggzy.cn/，投标人须在投标截止时间前完成投标文件所有内容的上传。投标人根据拟要投标的项目，按照网上投标系统要求上传投标文件所有内容，投标文件上传后须自行检查投标文件的完整性并进行确认签名后，方可完成投标文件网上上传操作。投标人可自行打印“上传投标文件回执”。投标截止时间前未完成投标文件传输的，视为撤回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15.1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开标时间和地点</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lang w:val="en-US" w:eastAsia="zh-CN"/>
              </w:rPr>
              <w:t>时间：2021年02月05日09时00分开始</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lang w:val="en-US" w:eastAsia="zh-CN"/>
              </w:rPr>
              <w:t>地点：牟定县公共资源交易中心四楼开标室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15.2</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开标方式</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lang w:val="en-US" w:eastAsia="zh-CN"/>
              </w:rPr>
              <w:t>ᩙ</w:t>
            </w:r>
            <w:r>
              <w:rPr>
                <w:rFonts w:hint="eastAsia" w:ascii="方正仿宋简体" w:hAnsi="方正仿宋简体" w:eastAsia="方正仿宋简体" w:cs="方正仿宋简体"/>
                <w:color w:val="auto"/>
                <w:sz w:val="21"/>
                <w:szCs w:val="21"/>
                <w:lang w:val="en-US" w:eastAsia="zh-CN"/>
              </w:rPr>
              <w:sym w:font="Wingdings" w:char="00FE"/>
            </w:r>
            <w:r>
              <w:rPr>
                <w:rFonts w:hint="eastAsia" w:ascii="方正仿宋简体" w:hAnsi="方正仿宋简体" w:eastAsia="方正仿宋简体" w:cs="方正仿宋简体"/>
                <w:color w:val="auto"/>
                <w:sz w:val="21"/>
                <w:szCs w:val="21"/>
                <w:lang w:val="en-US" w:eastAsia="zh-CN"/>
              </w:rPr>
              <w:t xml:space="preserve">网上开标远程解密   </w:t>
            </w:r>
            <w:r>
              <w:rPr>
                <w:rFonts w:hint="eastAsia" w:ascii="方正仿宋简体" w:hAnsi="方正仿宋简体" w:eastAsia="方正仿宋简体" w:cs="方正仿宋简体"/>
                <w:color w:val="auto"/>
                <w:sz w:val="21"/>
                <w:szCs w:val="21"/>
                <w:lang w:val="en-US" w:eastAsia="zh-CN"/>
              </w:rPr>
              <w:sym w:font="Wingdings" w:char="00FE"/>
            </w:r>
            <w:r>
              <w:rPr>
                <w:rFonts w:hint="eastAsia" w:ascii="方正仿宋简体" w:hAnsi="方正仿宋简体" w:eastAsia="方正仿宋简体" w:cs="方正仿宋简体"/>
                <w:color w:val="auto"/>
                <w:sz w:val="21"/>
                <w:szCs w:val="21"/>
                <w:lang w:val="en-US" w:eastAsia="zh-CN"/>
              </w:rPr>
              <w:t>现场开标现场解密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15.3</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远程解密操作方法</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本项目采用网上开标远程解密方式，开标时投标单位无需到现场出席开标会，也无需上传公司相关证书原件；各投标单位对上传的相关证件及证明资料真实性负责（确保上传的相关资料清晰可辨，如评标过程中，评标委员会无法辨别影响投标的，责任由投标人自行承担），如发现提供虚假材料的，一经查实取消投标资格，并依据相关法律、法规进行处罚；在到达开标时间之后投标人自行登录楚雄州公共资源交易电子服务系统点击【开标】下的【开标会】菜单，进入开标会界面，至投标截止时间后方能找到对应项目，点击项目后方的【进入】按钮进入开标室页面，进行系统自动签到（温馨提示：登录及电子签名时需要用企业CA锁，解密时需要用投标文件加密的CA锁，为了不频繁更换CA锁影响解密及签名确认，故建议投标文件加密时采用企业CA锁进行加密）。</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开标系统下达网上解密指令后，投标单位点击上方【网上解密】进入网上解密界面，各投标单位必须在系统下达的时间内完成解密工作，由于自身原因解密失败的视为无效投标。采购人将不予接收其投标文件，一切责任由投标人自行负责。</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（3）开标过程中等全部投标单位解密成功唱标后投标单位如有问题，可以在线发起异议，点击右上角的【提出异议】按钮，填写异议详细内容之后进行提交，由采购人（招标代理机构）给予对应的回复。</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4）各投标人应当提前熟悉和掌握网上开标远程解密详细操作，操作步骤可登录楚雄州公共资源交易电子服务系统到“服务指南-中心指南”中下载《楚雄州网上开标远程解密操作指南（投标方）》（在学习过程中如有疑问可咨询技术支持：北京筑龙信息技术有限责任公司/服务热线:010-86483801 服务QQ:400-9618-998）。</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（5）开标当天投标人或供应商无法正常登录系统、无法正常解密应及时联系筑龙客服说明问题并请求远程协助检查确认问题，同时联系招采购人（采购代理机构）说明情况。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16.1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评标委员会的组建</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5人以上的单数，其中采购人代表占1/3，专家占2/3。</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评标委员会的确定方式：在云南省综合评标专家库中随机抽取。</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注：特殊情况专家名单经审批后确定。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22.1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履约担保</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履约担保的金额：中标价的3%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24</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采购代理服务费</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1"/>
                <w:szCs w:val="21"/>
                <w:lang w:val="en-US" w:eastAsia="zh-CN"/>
                <w14:textFill>
                  <w14:solidFill>
                    <w14:schemeClr w14:val="tx1"/>
                  </w14:solidFill>
                </w14:textFill>
              </w:rPr>
              <w:t>本次代理服务费按国家计委（2002）1980号文件规定的收费标准、国家发展改革委员会发改办价格[2003]857号文及发改委（2011）534号文的规定收取，由中标人承担，A包支付9100.00元（玖仟壹佰元整）;B包支付800.00元（捌佰元整），中标人在领取中标通知书时一次支付（请投标人予以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26</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对节能产品的有关政策</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☑不适用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□适用  审查标准：按《财政部 发展改革委 生态环境部 市场监管总局关于调整优化节能产品、环境标志产品政府采购执行机制的通知》(财库〔2019〕9号)，若报价产品为国家确定的认证机构出具的、处于有效期之内的节能产品，且提供有效证明材料的，按以下方法对报价扣除。若参加投标产品为《节能产品政府采购清单》中政府强制采购节能产品，不再进行报价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1.若所投全部产品为节能产品，在其报价基础上分别给予【投标报价×6%】的价格扣除。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2.若所投部分产品为节能产品，在其报价基础上分别给予【投标报价×6%×（节能产品合计报价/投标报价）】的扣除。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如所投货物为节能产品，在中标后原则上不给于更换此节能产品，如发生不可预见情况，更换的节能产品必须是国家确定的认证机构出具的的采购清单中的产品并提供证明材料（在有效期内）。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对环境标志产品的有关政策</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☑不适用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□适用 审查标准：按《财政部 发展改革委 生态环境部 市场监管总局关于调整优化节能产品、环境标志产品政府采购执行机制的通知》(财库〔2019〕9号)，若报价产品为为国家确定的认证机构出具的、处于有效期之内的的环境标志产品，且提供有效证明材料的，按以下方法对报价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1.若所投全部产品为环境标志产品，在其报价基础上分别给予【投标报价×6%】的价格扣除。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2.若所投部分产品为节能产品，在其报价基础上分别给予【投标报价×6%×（环境标志产品合计报价/投标报价）】的扣除。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如所投货物为环境标志产品，在中标后原则上不给于更换此环境标志产品，如发生不可预见情况，更换的环境标志产品必须是国家确定的认证机构出具的的采购清单中的产品并提供证明材料（在有效期内）。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中小微型企业及有关政策</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□不适用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☑适用（审查标准：按照财政部工业和信息化部关于印发《政府采购促进中小企业发展暂行办法》的通知，财库[2011]181号的规定，按以下价格扣除幅度对报价进行扣除。中小微型企业价格扣除幅度：报价的6%）</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计算方法是：</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1.若投标人符合中小微型企业并提供证明文件，在其报价基础上分别给予【投标报价×6%】的价格扣除。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2.若所投部分产品的制造商符合中小微型企业的，在其报价基础上分别给予【投标报价×6%×（中小微型企业所生产的产品合计报价/投标报价）】的扣除。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（1）小型、微型企业提供中型企业制造的货物的，视同为中型企业。中型企业不享受该项优惠政策。</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（2）符合中小微型企业的投标人或造商为中小微型企业，应按第四章投标文件格式中的附件二上传材料（《中小微企业声明函》、《从业人员声明函》、在《小微企业名录》），否则不给予价格扣除。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（2）如投标人和制造商同时符合中小微型企业的，按第1项给予价格扣除，制造商不在重复价格扣除。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（3）如所报货物的制造商为中小微型企业生产的产品，须按规定格式逐项填写，否则评分时不予价格扣除。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如所投货物的制造商为中小微型企业并给予价格扣除，在中标后原则上不给于更换此制造商生产的产品，如发生不可预见情况，更换的改产品必须是中小微型企业生产的产品并提供证明材料（更换产品必须优于投标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监狱企业有关政策</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□不适用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 xml:space="preserve">☑适用 </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按照《财政部司法部关于政府采购支持监狱企业发展有关问题的通知》（财库【2014】68 号）监狱企业参加政府采购活动时，应当提供由省级以上监狱管理局、戒毒管理局（含新疆生产建设兵团）出具的属于监狱企业的证明文件。监狱企业价格扣除幅度：报价的6%。</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计算方法是：</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1.若投标人属于监狱企业并提供（上传）证明文件，在其报价基础上分别给予【投标报价×6%】的价格扣除。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2.若所投部分产品的制造商属于监狱企业的，在其报价基础上分别给予【投标报价×6%×（监狱企业所生产的产品合计报价/投标报价）】的扣除。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残疾人福利性单位有关政策</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□不适用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适用（审查标准：按照《关于促进残疾人就业政府采购政策的通知》（财库〔2017〕141号），残疾人福利性单位视同小型、微型企业，按以下价格扣除幅度对报价进行扣除。残疾人福利性单位价格扣除幅度：报价的6%）。</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计算方法是：</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1.若投标人属于残疾人福利性单位并提供证明文件，在其报价基础上分别给予【投标报价×6%】的价格扣除。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2.若所投部分产品的制造商属于残疾人福利性单位，在其报价基础上分别给予【投标报价×6%×（残疾人福利性单位所生产的产品合计报价/投标报价）】的扣除。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优先就近采购原则</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□不适用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适用，根据《中华人民共和国政府采购法》第九条规定：“政府采购应当有助于实现国家的经济和社会发展政策目标，包括保护环境，扶持不发达地区和少数民族地区，促进中小企业发展等”。本项目采用综合评分法，中标候选人总分相同的条件下，优先就近采购本地或本省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落实上述政府采购政策说明</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 投标人同时符合监狱企业、残疾人福利性单位、中小微型企业的，在报价上不重复享受政策惠（按扣除幅度最多一条计算）。</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2.如投标单位为：监狱企业，中小微型企业，残疾人福利性单位须按规定格式逐项填写，否则评分时不予价格扣除。详细见格式部分。</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3.如所报货物为节能产品、环境标志产品，须按规定格式逐项填写，否则不给予价格扣除。详细见格式部分。</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5.所投货物制造商为监狱企业，中小微型企业，残疾人福利性单位开标时投标人必须按规定格式逐项填写，否则不给予价格扣除。详细见格式部分。</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 若中标、成交供应商属于上述鼓励政策的，采购代理机构将随中标结果同时公告其《证明文件》。</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节能环保产品须与所招设备一致，且节能产品为所招产品的核心部分，如不能满足将不作为加分项。开标时，投标人提供中国政府采购网（www.ccgp.gov.cn）网页截屏彩色打印件(并加盖公章)，否则不给予加分。属于政府强制采购节能产品范围的产品必须为清单内产品。投标人所填写的内容必须真实、可靠，如有虚假或隐瞒，一经查实将可能导致投标被拒绝。</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 xml:space="preserve">其中计算机设备（台式计算机、便携式计算机和平板式微型计算机）、打印设备（激光打印机、针式打印机）、显示设备（液晶显示器）、制冷空调设备、镇流器（管型荧光灯镇流器）、空调机、热水器（电热水器）、照明设备（普通照明用自镇流荧光灯、普通照明用双端荧光灯）、普通电视设备（电视机）、视频监控设备、节水产品（便器、水嘴）等产品是国家强制采购节能产品的范围，要求必须是节能产品，即属于财政部、国家发展改革委公布的《节能产品政府采购清单》中的产品。本次招标产品中包含以上产品的，投标人必须投报国家确定的认证机构出具的的采购清单中的产品，否则其投标无效；同时必须提供投报的中国政府采购网（www.ccgp.gov.cn）网页截屏彩色打印件，否则其投标也无效。 </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以上所涉及提供的网页截屏指“按网站显示内容中（节能产品查询 【打印】）并上传该页即可”。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招标文件的解释</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采购人自行编写的内容由采购人（招标代理机构）解释。对采购人自行编写的内容理解有争议的，由备案的行政监督部门按照招标文件所使用的词句、招标文件有关条款、招标的目的、习惯以及诚实信用原则，确定该条款的真实意思。有两种以上解释的，作出不利于采购人一方的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其他内容</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1、不良行为记录是指：</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（1）以受让或者借用或者涂改或者盗用或者伪造证书、图章、签名以及其他弄虚作假的方式参与投标的；</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（2）投标人相互串通投标或者与招标人串通投标的；</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（3）行贿或者索贿或者受贿或者接受其他好处的；</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（4）将中标项目进行转包或者违法分包的；</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（5）无故放弃中标的；</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（6）不履行投标文件承诺的。</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2、同义词语：</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在本文件中出现的“采购文件”的部分措辞应当按“招标文件”进行理解；</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构成招标文件组成部分的“合同条款”等章节中出现的措辞“采购人”和“中标人”，在招标投标阶段应当分别按“采购人”和“投标人”进行理解；在项目实施阶段应当分别按“甲方”和“乙方”进行理解。</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3、解释权：</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4、其他：</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所有投标人的投标文件必须是在接受采购人招标文件（含合同条款等）的基础上作出的投标承诺，若中标人对招标文件（含合同条款等）提出修改要求，采购人可视为其不响应招标文件的实质性条款，取消其中标资格。</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（2）中标人若因报价过低致使不与采购人签订合同的，或在合同签订中无故要求变更投标承诺和变更投标报价的，采购人可取消其中标资格，并上报行政监管部门作出处罚并给予不良行为记录。</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本招标文件中的所有条款，包括合同条款均是招标文件的实质性组成部分，投标人的投标文件是在充分理解了招标文件（含合同条款）的所有条款后作出的投标决定，是对招标文件的实质性响应，投标人中标后不得对招标文件实质性内容进行修改或质询。若中标人对招标文件（含合同条款）提出修改要求，采购人有权拒绝与之其签订合同，取消其中标候选人资格，由此产生的一切后果全部由中标人承担。</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（4）若投标人为分公司投标的，法定代表人”之后加上“（负责人）”的字样，以明确表示分公司负责人的签字亦具有法律效力。</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5、纸质投标文件：</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本项目投标人不提供纸质版投标文件；中标单位在签订合同前给采购人补充一式二份纸质投标文件，且纸质投标文件须与电子投标文件一致。</w:t>
            </w:r>
          </w:p>
        </w:tc>
      </w:tr>
    </w:tbl>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bookmarkStart w:id="42" w:name="_Toc30514551"/>
      <w:bookmarkStart w:id="43" w:name="_Toc30599765"/>
    </w:p>
    <w:p>
      <w:pPr>
        <w:pStyle w:val="2"/>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p>
    <w:p>
      <w:pP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p>
    <w:p>
      <w:pPr>
        <w:pStyle w:val="2"/>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p>
    <w:p>
      <w:pP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p>
    <w:p>
      <w:pPr>
        <w:pStyle w:val="2"/>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p>
    <w:p>
      <w:pP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p>
    <w:p>
      <w:pPr>
        <w:pStyle w:val="2"/>
        <w:rPr>
          <w:rFonts w:hint="eastAsia"/>
          <w:lang w:val="en-US" w:eastAsia="zh-CN"/>
        </w:rPr>
      </w:pPr>
    </w:p>
    <w:p>
      <w:pPr>
        <w:rPr>
          <w:rFonts w:hint="eastAsia"/>
          <w:lang w:val="en-US" w:eastAsia="zh-CN"/>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（二） 投标须知正文部分</w:t>
      </w:r>
      <w:bookmarkEnd w:id="42"/>
      <w:bookmarkEnd w:id="43"/>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bookmarkStart w:id="44" w:name="_Toc30514552"/>
      <w:bookmarkStart w:id="45" w:name="_Toc483640585"/>
      <w:bookmarkStart w:id="46" w:name="_Toc30599766"/>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一、总  则</w:t>
      </w:r>
      <w:bookmarkEnd w:id="44"/>
      <w:bookmarkEnd w:id="45"/>
      <w:bookmarkEnd w:id="46"/>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47" w:name="_Toc30514553"/>
      <w:bookmarkStart w:id="48" w:name="_Toc337822214"/>
      <w:bookmarkStart w:id="49" w:name="_Toc30599767"/>
      <w:bookmarkStart w:id="50" w:name="_Toc483640586"/>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1.项目概况</w:t>
      </w:r>
      <w:bookmarkEnd w:id="47"/>
      <w:bookmarkEnd w:id="48"/>
      <w:bookmarkEnd w:id="49"/>
      <w:bookmarkEnd w:id="50"/>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1.1 根据《中华人民共和国政府采购法》等有关法律、法规和规章的规定，本项目已具备招标条件，现对本次项目采购进行招标采购。</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 本项目采购人、采购代理机构、项目名称及招标编号：见“投标须知前附表”。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51" w:name="_Toc30514554"/>
      <w:bookmarkStart w:id="52" w:name="_Toc483640587"/>
      <w:bookmarkStart w:id="53" w:name="_Toc265142411"/>
      <w:bookmarkStart w:id="54" w:name="_Toc30599768"/>
      <w:bookmarkStart w:id="55" w:name="_Toc337822215"/>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2.资金来源</w:t>
      </w:r>
      <w:bookmarkEnd w:id="51"/>
      <w:bookmarkEnd w:id="52"/>
      <w:bookmarkEnd w:id="53"/>
      <w:bookmarkEnd w:id="54"/>
      <w:bookmarkEnd w:id="55"/>
    </w:p>
    <w:p>
      <w:pPr>
        <w:spacing w:line="240" w:lineRule="auto"/>
        <w:ind w:firstLine="240" w:firstLineChars="100"/>
        <w:rPr>
          <w:rFonts w:ascii="华文中宋" w:hAnsi="华文中宋" w:eastAsia="华文中宋" w:cs="Times New Roman"/>
          <w:sz w:val="24"/>
          <w:szCs w:val="24"/>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2.1 “投标须知前附表”中所述的采购人已获得一笔政府采购资金，用于采购“招标范围”所列服务要求。项目预算金额见“投标须知前附表”。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56" w:name="_Toc30514555"/>
      <w:bookmarkStart w:id="57" w:name="_Toc483640588"/>
      <w:bookmarkStart w:id="58" w:name="_Toc30599769"/>
      <w:bookmarkStart w:id="59" w:name="_Toc265142412"/>
      <w:bookmarkStart w:id="60" w:name="_Toc337822216"/>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3.采购范围</w:t>
      </w:r>
      <w:bookmarkEnd w:id="56"/>
      <w:bookmarkEnd w:id="57"/>
      <w:bookmarkEnd w:id="58"/>
      <w:bookmarkEnd w:id="59"/>
      <w:bookmarkEnd w:id="60"/>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3.1 本项目资金来源：见“投标须知前附表”。</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3.2 本项目交货时间：见“投标须知前附表”。</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3.3本项目招标范围：见“投标须知前附表”。</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3.4本项目质量标准：见“投标须知前附表”。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61" w:name="_Toc30599770"/>
      <w:bookmarkStart w:id="62" w:name="_Toc483640589"/>
      <w:bookmarkStart w:id="63" w:name="_Toc30514556"/>
      <w:bookmarkStart w:id="64" w:name="_Toc337822217"/>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4.★合格的投标人</w:t>
      </w:r>
      <w:bookmarkEnd w:id="61"/>
      <w:bookmarkEnd w:id="62"/>
      <w:bookmarkEnd w:id="63"/>
      <w:bookmarkEnd w:id="64"/>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65" w:name="_Hlt200176664"/>
      <w:bookmarkEnd w:id="65"/>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4.1 参加投标的投标人应具备《中华人民共和国政府采购法》第二十二条规定的条件。</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4.2 参加投标的投标人应符合采购人根据采购项目的特殊要求规定的特定条件。特定条件见 “投标须知前附表”。</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4.3本项目不接受联合体参加投标。</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4.4 投标人不得存在下列情形之一：</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 xml:space="preserve">（l）为招标人不具有独立法人资格的附属机构（单位）； </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（2）为本项目提供招标代理服务的；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（3）与本项目的招标代理机构同为一个法定代表人的；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（4）与本项目的招标代理机构相互控股或参股的；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（5）与本项目的招标代理机构相互任职或工作的；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（6）被责令停业的；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（7）被暂停或取消投标资格的；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（8）财产被接管或冻结的；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（9）在最近三年内有骗取中标或严重违约问题的。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4.4法定代表人为同一个人的两个及两个以上法人，母公司、全资子公司及其控股公司，都不得在同一项目招标中同时投标。</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4.5 符合上述条件的投标人应承担投标及履约中应承担的全部责任与义务。</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66" w:name="_Toc483640590"/>
      <w:bookmarkStart w:id="67" w:name="_Toc30599771"/>
      <w:bookmarkStart w:id="68" w:name="_Toc30514557"/>
      <w:bookmarkStart w:id="69" w:name="_Toc337822218"/>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5.投标费用</w:t>
      </w:r>
      <w:bookmarkEnd w:id="66"/>
      <w:bookmarkEnd w:id="67"/>
      <w:bookmarkEnd w:id="68"/>
      <w:bookmarkEnd w:id="69"/>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无论是否成交，投标人自行承担所有与参加投标有关的全部费用。</w:t>
      </w:r>
    </w:p>
    <w:p>
      <w:pPr>
        <w:spacing w:line="360" w:lineRule="auto"/>
        <w:ind w:firstLine="320" w:firstLineChars="100"/>
        <w:jc w:val="center"/>
        <w:rPr>
          <w:rFonts w:hint="eastAsia" w:ascii="方正仿宋简体" w:hAnsi="方正仿宋简体" w:eastAsia="方正仿宋简体" w:cs="方正仿宋简体"/>
          <w:b/>
          <w:bCs/>
          <w:color w:val="000000" w:themeColor="text1"/>
          <w:sz w:val="44"/>
          <w:szCs w:val="44"/>
          <w:lang w:val="en-US" w:eastAsia="zh-CN"/>
          <w14:textFill>
            <w14:solidFill>
              <w14:schemeClr w14:val="tx1"/>
            </w14:solidFill>
          </w14:textFill>
        </w:rPr>
      </w:pPr>
      <w:bookmarkStart w:id="70" w:name="_Toc30514558"/>
      <w:bookmarkStart w:id="71" w:name="_Toc337822219"/>
      <w:bookmarkStart w:id="72" w:name="_Toc483640591"/>
      <w:bookmarkStart w:id="73" w:name="_Toc86124047"/>
      <w:bookmarkStart w:id="74" w:name="_Toc30599772"/>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二、招标文件</w:t>
      </w:r>
      <w:bookmarkEnd w:id="70"/>
      <w:bookmarkEnd w:id="71"/>
      <w:bookmarkEnd w:id="72"/>
      <w:bookmarkEnd w:id="73"/>
      <w:bookmarkEnd w:id="74"/>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75" w:name="_Toc30599773"/>
      <w:bookmarkStart w:id="76" w:name="_Toc30514559"/>
      <w:bookmarkStart w:id="77" w:name="_Toc483640592"/>
      <w:bookmarkStart w:id="78" w:name="_Toc337822220"/>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6.招标文件的组成</w:t>
      </w:r>
      <w:bookmarkEnd w:id="75"/>
      <w:bookmarkEnd w:id="76"/>
      <w:bookmarkEnd w:id="77"/>
      <w:bookmarkEnd w:id="78"/>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要求提供的采购过程及合同条款在投标文件中均有说明，招标文件共六章，各章的内容如下：</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第一章  招标公告</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第二章  投标人须知</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第三章  评审办法</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第四章  投标文件格式</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第五章  合同书格式及主要条款</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第六章  采购需求</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79" w:name="_Toc86124049"/>
      <w:bookmarkStart w:id="80" w:name="_Toc483640593"/>
      <w:bookmarkStart w:id="81" w:name="_Toc30514560"/>
      <w:bookmarkStart w:id="82" w:name="_Toc337822221"/>
      <w:bookmarkStart w:id="83" w:name="_Toc30599774"/>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7.投标文件的澄清</w:t>
      </w:r>
      <w:bookmarkEnd w:id="79"/>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、修改</w:t>
      </w:r>
      <w:bookmarkEnd w:id="80"/>
      <w:bookmarkEnd w:id="81"/>
      <w:bookmarkEnd w:id="82"/>
      <w:bookmarkEnd w:id="83"/>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84" w:name="_Toc483640594"/>
      <w:bookmarkStart w:id="85" w:name="_Toc86124051"/>
      <w:bookmarkStart w:id="86" w:name="_Toc337822222"/>
      <w:bookmarkStart w:id="87" w:name="_Toc502736809"/>
      <w:bookmarkStart w:id="88" w:name="_Toc487464747"/>
      <w:bookmarkStart w:id="89" w:name="_Toc10065"/>
      <w:bookmarkStart w:id="90" w:name="_Toc337822234"/>
      <w:bookmarkStart w:id="91" w:name="_Toc1236"/>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7.1招标文件的澄清</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投标人应仔细阅读和检查招标文件的全部内容。如发现缺页或附件不全，应及时向采购代理机构提出，以便补齐。如有疑问，应在投标人须知前附表规定的时间前以凭身份认证密匙登录“楚雄州公共资源交易电子服务系统（网址：http://www.cxggzy.cn/）”，通过网络在线方式进行匿名提问。要求采购代理机构对投标文件予以澄清。</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招标澄清和补遗全部通过网络送达，请投标人在投标截止日前，务必查询楚雄州公共资源交易电子服务系统（网址：http://www.cxggzy.cn/），投标人自行登录楚雄州公共资源交易电子服务系统获取澄清，无须回复确认已收到该澄清，采购人不再另行通知。</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7.2招标文件的修改</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在投标截止时间15天前，采购人需要变更招标文件内容的，采购人可主动或在解答投标人提出的澄清问题时对招标文件进行修改，并同时报主管部门备案。采购人无论对评标办法、评审项目等重要评审内容作何种变更，都要重新制作电子招标文件，并重新备案，同时发布补遗文件进行说明以保证各投标人都能重新下载最新的电子招标文件用于编制电子投标文件。招标文件的修改将在“楚雄州公共资源交易电子服务系统”发布，招标文件的修改作为招标文件的组成部分，并具有约束力。如果修改招标文件的时间距投标截止时间不足15日，相应延长投标截止时间。</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投标人自行登录楚雄州公共资源交易电子服务系统收取修改内容，无须回复确认已收到该修改。投标人应在截标时间前随时查看“楚雄州公共资源交易电子服务系统”中有关招标文件的答疑、补遗内容。否则，由此引起的投标损失自负。</w:t>
      </w:r>
    </w:p>
    <w:p>
      <w:pPr>
        <w:spacing w:line="240" w:lineRule="auto"/>
        <w:ind w:firstLine="240" w:firstLineChars="100"/>
        <w:rPr>
          <w:rFonts w:ascii="华文中宋" w:hAnsi="华文中宋" w:eastAsia="华文中宋" w:cs="Times New Roman"/>
          <w:sz w:val="24"/>
          <w:szCs w:val="24"/>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（3）招标文件、招标文件澄清、招标文件修改文件内容均以网上发布的为准，当招标文件、招标文件澄清、招标文件修改文件内容相互矛盾时，以最后发出的为准。</w:t>
      </w:r>
    </w:p>
    <w:bookmarkEnd w:id="84"/>
    <w:bookmarkEnd w:id="85"/>
    <w:bookmarkEnd w:id="86"/>
    <w:p>
      <w:pPr>
        <w:spacing w:line="360" w:lineRule="auto"/>
        <w:ind w:firstLine="320" w:firstLineChars="100"/>
        <w:jc w:val="center"/>
        <w:rPr>
          <w:rFonts w:hint="eastAsia" w:ascii="方正仿宋简体" w:hAnsi="方正仿宋简体" w:eastAsia="方正仿宋简体" w:cs="方正仿宋简体"/>
          <w:b/>
          <w:bCs/>
          <w:color w:val="000000" w:themeColor="text1"/>
          <w:sz w:val="44"/>
          <w:szCs w:val="44"/>
          <w:lang w:val="en-US" w:eastAsia="zh-CN"/>
          <w14:textFill>
            <w14:solidFill>
              <w14:schemeClr w14:val="tx1"/>
            </w14:solidFill>
          </w14:textFill>
        </w:rPr>
      </w:pPr>
      <w:bookmarkStart w:id="92" w:name="_Toc30514561"/>
      <w:bookmarkStart w:id="93" w:name="_Toc30599775"/>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三、电子投标文件的编制</w:t>
      </w:r>
      <w:bookmarkEnd w:id="87"/>
      <w:bookmarkEnd w:id="92"/>
      <w:bookmarkEnd w:id="93"/>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94" w:name="_Toc337822223"/>
      <w:bookmarkStart w:id="95" w:name="_Toc86124052"/>
      <w:bookmarkStart w:id="96" w:name="_Toc483640595"/>
      <w:bookmarkStart w:id="97" w:name="_Toc502736810"/>
      <w:bookmarkStart w:id="98" w:name="_Toc30514562"/>
      <w:bookmarkStart w:id="99" w:name="_Toc30599776"/>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8.电子投标文件</w:t>
      </w:r>
      <w:bookmarkEnd w:id="94"/>
      <w:bookmarkEnd w:id="95"/>
      <w:bookmarkEnd w:id="96"/>
      <w:bookmarkEnd w:id="97"/>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编制</w:t>
      </w:r>
      <w:bookmarkEnd w:id="98"/>
      <w:bookmarkEnd w:id="99"/>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8.1 投标人应仔细阅读采购文件，在完全了解采购的内容、服务要求（见第六章“采购需求”）和商务条件后，编写电子投标文件。如果没有按照采购文件要求提交全部投标文件或者资料，没有对采购文件的实质性要求和条件作出响应是投标人的风险，并可能导致该投标被拒绝。</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8.2对电子投标文件提出的实质性要求作出响应是指投标人必须对采购文件中规定的实质性要求作出满足或者优于原要求的承诺。</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8.3 投标文件中注★号的部分为实质性要求。</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8.4  电子投标文件：</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（1）投标文件制作要求：见投标人须知前附表。</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（2）电子投标文件格式：见投标人须知前附表。</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（3）投标文件的签署：见投标人须知前附表。</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00" w:name="_Toc30599777"/>
      <w:bookmarkStart w:id="101" w:name="_Toc30514563"/>
      <w:bookmarkStart w:id="102" w:name="_Toc86124054"/>
      <w:bookmarkStart w:id="103" w:name="_Toc337822224"/>
      <w:bookmarkStart w:id="104" w:name="_Toc502736811"/>
      <w:bookmarkStart w:id="105" w:name="_Toc483640596"/>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9.电子投标文件构成</w:t>
      </w:r>
      <w:bookmarkEnd w:id="100"/>
      <w:bookmarkEnd w:id="101"/>
      <w:bookmarkEnd w:id="102"/>
      <w:bookmarkEnd w:id="103"/>
      <w:bookmarkEnd w:id="104"/>
      <w:bookmarkEnd w:id="105"/>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投标人编写的投标文件应由下列部分构成。有关文件的提交如未特别注明提供可提供复印件的，均要求提交原件扫描件上传。投标人投标文件应按如下顺序编制成册。投标人同时投多个包的（若有分包），投标文件应按包分别编制，单独成电子投标文件。</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（1）开标一览表：按第四章“投标文件格式”提供的格式及要求填写。</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（2）资格证明文件：按第四章“投标文件格式”提供的格式及要求填写。</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（3）投标函：按第四章“投标文件格式”提供的格式及要求填写；</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（4）商务条款偏离表：按第四章“投标文件格式”提供的“商务条款偏离表”的格式及要求，根据投标人投标申请承诺的商务条件与“合同条款”的差异填写。</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（5）技术文件：按第四章“投标文件格式”提供的格式及要求填写。</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（6））附件：按第四章“投标文件格式”提供的格式及要求填写（投标人可根据自身情况提供）。</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06" w:name="_Toc86124056"/>
      <w:bookmarkStart w:id="107" w:name="_Toc502736812"/>
      <w:bookmarkStart w:id="108" w:name="_Toc483640597"/>
      <w:bookmarkStart w:id="109" w:name="_Toc337822225"/>
      <w:bookmarkStart w:id="110" w:name="_Toc30514564"/>
      <w:bookmarkStart w:id="111" w:name="_Toc30599778"/>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10.报价</w:t>
      </w:r>
      <w:bookmarkEnd w:id="106"/>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和报价货币</w:t>
      </w:r>
      <w:bookmarkEnd w:id="107"/>
      <w:bookmarkEnd w:id="108"/>
      <w:bookmarkEnd w:id="109"/>
      <w:bookmarkEnd w:id="110"/>
      <w:bookmarkEnd w:id="111"/>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112" w:name="_Toc483640598"/>
      <w:bookmarkStart w:id="113" w:name="_Toc86124058"/>
      <w:bookmarkStart w:id="114" w:name="_Toc337822226"/>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10.1投标人的报价应依据投标文件的要求及有关资料，执行国家规定的现行技术、经济标准、定额及规范，由投标人自行测算出现行市场的货物价格。报价包括但不仅限于货物的价格、运输、装卸、保管费、验收、保证期内缺陷的修复补救、市场价格的变化、利润及税金等费用，该报价应符合国内行情并能保证投标人完成履行合同所需的一切工作。合同一旦签订，此合同价格在合同实施期间将不因工作量及市场设备材料价格的变化而调整。</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10.2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10.3报价货币为人民币。</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15" w:name="_Toc30514565"/>
      <w:bookmarkStart w:id="116" w:name="_Toc502736813"/>
      <w:bookmarkStart w:id="117" w:name="_Toc30599779"/>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11.有效期</w:t>
      </w:r>
      <w:bookmarkEnd w:id="112"/>
      <w:bookmarkEnd w:id="113"/>
      <w:bookmarkEnd w:id="114"/>
      <w:bookmarkEnd w:id="115"/>
      <w:bookmarkEnd w:id="116"/>
      <w:bookmarkEnd w:id="117"/>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11.1 在“投标须知前附表”规定的有效期内，投标人不得要求撤销或修改其投标文件。</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11.2 因特殊情况需要延长有效期的，采购代理机构以书面形式通知所有投标人延长有效期。但不得要求或被允许修改或撤销其投标文件；投标人拒绝延长的，其投标申请失效。</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18" w:name="_Toc30514566"/>
      <w:bookmarkStart w:id="119" w:name="_Toc502736815"/>
      <w:bookmarkStart w:id="120" w:name="_Toc483640600"/>
      <w:bookmarkStart w:id="121" w:name="_Toc337822228"/>
      <w:bookmarkStart w:id="122" w:name="_Toc30599780"/>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12.投标保证金</w:t>
      </w:r>
      <w:bookmarkEnd w:id="118"/>
      <w:bookmarkEnd w:id="119"/>
      <w:bookmarkEnd w:id="120"/>
      <w:bookmarkEnd w:id="121"/>
      <w:bookmarkEnd w:id="122"/>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123" w:name="_Toc502736816"/>
      <w:bookmarkStart w:id="124" w:name="_Toc483640601"/>
      <w:bookmarkStart w:id="125" w:name="_Toc86124061"/>
      <w:bookmarkStart w:id="126" w:name="_Toc337822229"/>
      <w:bookmarkStart w:id="127" w:name="_Toc30599781"/>
      <w:bookmarkStart w:id="128" w:name="_Toc30514567"/>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12.1保证金为人民币。投标人应在递交投标文件截止时间以前按“投标须知前附表”规定的方式及金额交至采购代理机构，并在投标有效期内保持有效。</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12.2 办理保证金手续时，请务必在银行进账单或电汇单的用途栏或空白栏上注明招标编号。</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12.3 投标人应在提交投标文件时向采购代理机构提交保证金汇款凭证供查验。</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12.4未中标的投标人可在中标通知书发出后到采购代理机构办理退保证金手续，保证金在办理手续后五个工作日内无息退还；中标人的保证金，在签订合同后五个工作日内由采购代理机构无息退还。</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12.5因发生质疑、投诉或有关部门立案调查，保证金暂不退还，待调查处理结案后，按照有关规定办理。</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12.6　有下列情形之一的，保证金不予退还：</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（1）投标人在提交投标文件截止时间后撤回投标文件的；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（2）投标人在投标文件中提供虚假材料的；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（3）除因不可抗力或投标文件认可的情形以外，中标人不与采购人签订合同的；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（4）供应商与采购人、其他供应商或者采购代理机构恶意串通的；</w:t>
      </w:r>
    </w:p>
    <w:p>
      <w:pPr>
        <w:spacing w:line="240" w:lineRule="auto"/>
        <w:ind w:firstLine="240" w:firstLineChars="100"/>
        <w:rPr>
          <w:rFonts w:ascii="华文中宋" w:hAnsi="华文中宋" w:eastAsia="华文中宋" w:cs="Times New Roman"/>
          <w:szCs w:val="24"/>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（5）采购文件规定的其他情形。</w:t>
      </w:r>
    </w:p>
    <w:p>
      <w:pPr>
        <w:spacing w:line="360" w:lineRule="auto"/>
        <w:ind w:firstLine="320" w:firstLineChars="100"/>
        <w:jc w:val="cente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四、</w:t>
      </w:r>
      <w:bookmarkEnd w:id="123"/>
      <w:bookmarkEnd w:id="124"/>
      <w:bookmarkEnd w:id="125"/>
      <w:bookmarkEnd w:id="126"/>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投标</w:t>
      </w:r>
      <w:bookmarkEnd w:id="127"/>
      <w:bookmarkEnd w:id="128"/>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29" w:name="_Toc30599782"/>
      <w:bookmarkStart w:id="130" w:name="_Toc483640602"/>
      <w:bookmarkStart w:id="131" w:name="_Toc30514568"/>
      <w:bookmarkStart w:id="132" w:name="_Toc502736817"/>
      <w:bookmarkStart w:id="133" w:name="_Toc337822230"/>
      <w:bookmarkStart w:id="134" w:name="_Toc86124062"/>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13.投标文件的</w:t>
      </w:r>
      <w:bookmarkEnd w:id="129"/>
      <w:bookmarkEnd w:id="130"/>
      <w:bookmarkEnd w:id="131"/>
      <w:bookmarkEnd w:id="132"/>
      <w:bookmarkEnd w:id="133"/>
      <w:bookmarkEnd w:id="134"/>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提交及有关内容</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13.1电子投标文件的修改与撤回</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（1）在投标截止时间前，投标人可以修改或撤回已在网上递交的投标文件，无须书面形式通知采购人。</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（2）修改的投标文件应按照《电子投标文件编制及报送要求》规定进行编制、密封、标记和递交。</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35" w:name="_Toc502736818"/>
      <w:bookmarkStart w:id="136" w:name="_Toc483640603"/>
      <w:bookmarkStart w:id="137" w:name="_Toc337822231"/>
      <w:bookmarkStart w:id="138" w:name="_Toc86124063"/>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14.</w:t>
      </w:r>
      <w:bookmarkEnd w:id="135"/>
      <w:bookmarkEnd w:id="136"/>
      <w:bookmarkEnd w:id="137"/>
      <w:bookmarkEnd w:id="138"/>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 xml:space="preserve"> 投标文件递交及有关内容</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14.1网上提交网址为：http://www.cxggzy.cn/，投标人须在递交投标文件截止时间前完成所有投标文件的上传（投标文件格式为*. ZCTBJ），网上确认电子签名，并打印“上传投标文件回执”，未按要求完成投标文件上传的，视为自动放弃投标。</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14.2投标文件的递交不得迟于“投标须知前附表”规定的递交投标文件截止时间。</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14.3除“投标须知前附表”另有规定外，投标人所递交的投标文件不予退还。</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14.4逾期送达的或者未送达指定地点的投标文件，采购代理机构不予受理。</w:t>
      </w:r>
    </w:p>
    <w:p>
      <w:pPr>
        <w:spacing w:line="360" w:lineRule="auto"/>
        <w:ind w:firstLine="320" w:firstLineChars="100"/>
        <w:jc w:val="cente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bookmarkStart w:id="139" w:name="_Toc487464745"/>
      <w:bookmarkStart w:id="140" w:name="_Toc86124064"/>
      <w:bookmarkStart w:id="141" w:name="_Toc337822232"/>
      <w:bookmarkStart w:id="142" w:name="_Toc30599783"/>
      <w:bookmarkStart w:id="143" w:name="_Toc502736819"/>
      <w:bookmarkStart w:id="144" w:name="_Toc30514569"/>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五、开标与</w:t>
      </w:r>
      <w:bookmarkEnd w:id="139"/>
      <w:bookmarkEnd w:id="140"/>
      <w:bookmarkEnd w:id="141"/>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评标</w:t>
      </w:r>
      <w:bookmarkEnd w:id="142"/>
      <w:bookmarkEnd w:id="143"/>
      <w:bookmarkEnd w:id="144"/>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45" w:name="_Toc29019"/>
      <w:bookmarkStart w:id="146" w:name="_Toc20360"/>
      <w:bookmarkStart w:id="147" w:name="_Toc487464746"/>
      <w:bookmarkStart w:id="148" w:name="_Toc502736820"/>
      <w:bookmarkStart w:id="149" w:name="_Toc30599784"/>
      <w:bookmarkStart w:id="150" w:name="_Toc30514570"/>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15</w:t>
      </w:r>
      <w:bookmarkEnd w:id="145"/>
      <w:bookmarkEnd w:id="146"/>
      <w:bookmarkEnd w:id="147"/>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.开标</w:t>
      </w:r>
      <w:bookmarkEnd w:id="148"/>
      <w:bookmarkEnd w:id="149"/>
      <w:bookmarkEnd w:id="150"/>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15.1采购代理机构将在“投标须知前附表”规定的投标截止时间（开标时间）和地点组织网上开标。</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15.2网上开标远程解密</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本项目采用网上开标远程解密方式，开标时投标单位无需到现场出席开标会，也无需上传公司相关证书原件；各投标单位对上传的相关证件及证明资料真实性负责（确保上传的相关资料清晰可辨，如评标过程中，评标委员会无法辨别影响投标的，责任由投标人自行承担），如发现提供虚假材料的，一经查实取消投标资格，并依据相关法律、法规进行处罚；在到达开标时间之后投标人自行登录楚雄州公共资源交易电子服务系统点击【开标】下的【开标会】菜单，进入开标会界面，至投标截止时间后方能找到对应项目，点击项目后方的【进入】按钮进入开标室页面，进行系统自动签到</w:t>
      </w: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（温馨提示：登录及电子签名时需要用企业CA锁，解密时需要用投标文件加密的CA锁，为了不频繁更换CA锁影响解密及签名确认，故建议投标文件加密时采用企业CA锁进行加密）。</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开标系统下达网上解密指令后，投标单位点击上方【网上解密】进入网上解密界面，各投标单位必须在系统下达的时间内完成解密工作，由于自身原因解密失败的视为无效投标。采购人将不予接收其投标文件，一切责任由投标人自行负责。</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（3）开标过程中等全部投标单位解密成功唱标后投标单位如有问题，可以在线发起异议，点击右上角的【提出异议】按钮，填写异议详细内容之后进行提交，由采购人（招标代理机构）给予对应的回复。</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各投标人应当提前熟悉和掌握网上开标远程解密详细操作，操作步骤可登录楚雄州公共资源交易电子服务系统到“服务指南-中心指南”中下载《楚雄州网上开标远程解密操作指南（投标方）》（在学习过程中如有疑问可咨询技术支持：北京筑龙信息技术有限责任公司/服务热线:010-86483801服务QQ:400-9618-998）。</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（5）开标当天投标人或供应商无法正常登录系统、无法正常解密应及时联系筑龙客服说明问题并请求远程协助检查确认问题，同时联系招采购人（采购代理机构）说明情况。</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51" w:name="_Toc30514571"/>
      <w:bookmarkStart w:id="152" w:name="_Toc30599785"/>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16.</w:t>
      </w:r>
      <w:bookmarkEnd w:id="88"/>
      <w:bookmarkEnd w:id="89"/>
      <w:bookmarkEnd w:id="90"/>
      <w:bookmarkEnd w:id="91"/>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评标</w:t>
      </w:r>
      <w:bookmarkEnd w:id="151"/>
      <w:bookmarkEnd w:id="152"/>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16.1评标由招标人依法组建的评标委员会负责。评标委员会由有关方面的专家组成。评标委员会成员人数以及有关方面专家的确定方式见投标人须知前附表。</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16.2 评标委员会成员有下列情形之一的，应当回避：</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（1）投标人或投标人主要负责人的近亲属；</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（2）项目主管部门或者行政监督部门的人员；</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（3）与投标人有经济利益关系；</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（4）曾因在招标、评标以及其他与招标投标有关活动中从事违法行为而受过行政处罚或刑事处罚的；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（5）与投标人有其他利害关系。</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153" w:name="_Toc86124067"/>
      <w:bookmarkStart w:id="154" w:name="_Toc337822235"/>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16.3评审过程中对于投标文件中含义不明确、同类问题表述不一致或者有明显文字和计算错误的内容，评标委员会应当以书面形式要求投标人作出必要的澄清、说明或者补正。</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投标人的澄清、说明或者补正应当采用书面形式，并加盖公章，或者由法定代表人或其授权的代表签字。投标人的澄清、说明或者补正不得超出投标文件的范围或者改变投标文件的实质性内容。</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16.4投标文件如果出现计算或表达上的错误，修正错误的原则如下：</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（1）开标时，投标文件中开标一览表、投标函内容、投标报价表中明细表内容不一致的，以开标一览表为准。</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（2）投标文件的大写金额和小写金额不一致的，以大写金额为准；</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（3）总价金额与按单价汇总金额不一致的，以单价金额计算结果为准；</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（4）单价金额小数点有明显错位的，应以总价为准，并修改单价；</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（5）对不同文字文本投标文件的解释发生异议的，以中文文本为准。</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（6）按上述修正错误的原则及方法调整或修正投标文件的投标报价，投标人同意后，调整后的投标报价对投标人起约束作用。如果投标人不接受修正后的报价，则其投标将被拒绝并且其投标保证金也将被没收。</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16.5经投标确定最终采购需求和通过初审提交最后报价的投标人后，由评标委员会采用综合评分法对提交最后报价的投标人的投标文件和最后报价进行综合评分。</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55" w:name="_Toc30514572"/>
      <w:bookmarkStart w:id="156" w:name="_Toc30599786"/>
      <w:bookmarkStart w:id="157" w:name="_Toc487464748"/>
      <w:bookmarkStart w:id="158" w:name="_Toc26113"/>
      <w:bookmarkStart w:id="159" w:name="_Toc10682"/>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17.评审过程的保密</w:t>
      </w:r>
      <w:bookmarkEnd w:id="153"/>
      <w:bookmarkEnd w:id="154"/>
      <w:bookmarkEnd w:id="155"/>
      <w:bookmarkEnd w:id="156"/>
      <w:bookmarkEnd w:id="157"/>
      <w:bookmarkEnd w:id="158"/>
      <w:bookmarkEnd w:id="159"/>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投标开始后，直到授予投标人合同止，凡是属于审查、澄清、评审和比较的有关资料以及成交建议等均不向投标人或其他无关的人员透露。投标人在评审过程中，所进行的力图影响评审结果的不公正活动，可能导致其投标申请被拒绝。</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评标小组成员以及与评审工作有关的人员不得泄露评审情况以及评审过程中获悉的国家秘密、商业秘密。评标活动遵循公平、公正、科学和择优的原则。</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60" w:name="_Toc30514573"/>
      <w:bookmarkStart w:id="161" w:name="_Toc30599787"/>
      <w:bookmarkStart w:id="162" w:name="_Toc337822236"/>
      <w:bookmarkStart w:id="163" w:name="_Toc379789619"/>
      <w:bookmarkStart w:id="164" w:name="_Toc487464749"/>
      <w:bookmarkStart w:id="165" w:name="_Toc86124068"/>
      <w:bookmarkStart w:id="166" w:name="_Toc27256"/>
      <w:bookmarkStart w:id="167" w:name="_Toc5264"/>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18.出现下列情形之一的，项目终止</w:t>
      </w:r>
      <w:bookmarkEnd w:id="160"/>
      <w:bookmarkEnd w:id="161"/>
      <w:bookmarkEnd w:id="162"/>
      <w:bookmarkEnd w:id="163"/>
      <w:bookmarkEnd w:id="164"/>
      <w:bookmarkEnd w:id="165"/>
      <w:bookmarkEnd w:id="166"/>
      <w:bookmarkEnd w:id="167"/>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（1）因情况变化，不再符合规定的招标采购方式适用情形的；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（2）出现影响采购公正的违法、违规行为的；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（3）在采购过程中符合竞争要求的投标人报价未超过采购预算的投标人不足3家的。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（4）经评标委员会评审后否决所有投标的。</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注：在采购活动中因重大变故，采购任务取消的，采购活动终止。</w:t>
      </w:r>
    </w:p>
    <w:p>
      <w:pPr>
        <w:spacing w:line="360" w:lineRule="auto"/>
        <w:ind w:firstLine="320" w:firstLineChars="100"/>
        <w:jc w:val="cente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bookmarkStart w:id="168" w:name="_Toc30599788"/>
      <w:bookmarkStart w:id="169" w:name="_Toc30514574"/>
      <w:bookmarkStart w:id="170" w:name="_Toc86124069"/>
      <w:bookmarkStart w:id="171" w:name="_Toc337822237"/>
      <w:bookmarkStart w:id="172" w:name="_Toc483640609"/>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六、中标结果</w:t>
      </w:r>
      <w:bookmarkEnd w:id="168"/>
      <w:bookmarkEnd w:id="169"/>
      <w:bookmarkEnd w:id="170"/>
      <w:bookmarkEnd w:id="171"/>
      <w:bookmarkEnd w:id="172"/>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73" w:name="_Toc86124070"/>
      <w:bookmarkStart w:id="174" w:name="_Toc30599789"/>
      <w:bookmarkStart w:id="175" w:name="_Toc337822238"/>
      <w:bookmarkStart w:id="176" w:name="_Toc30514575"/>
      <w:bookmarkStart w:id="177" w:name="_Toc483640610"/>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19.中标人的确定</w:t>
      </w:r>
      <w:bookmarkEnd w:id="173"/>
      <w:bookmarkEnd w:id="174"/>
      <w:bookmarkEnd w:id="175"/>
      <w:bookmarkEnd w:id="176"/>
      <w:bookmarkEnd w:id="177"/>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19.1 采购代理机构在评审结束后二个工作日内将评审报告送采购人确认。</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19.2 采购人在收到评审报告后五个工作日内，按照评审报告中推荐的成交投标人顺序确定成交投标人。</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78" w:name="_Toc30599790"/>
      <w:bookmarkStart w:id="179" w:name="_Toc30514576"/>
      <w:bookmarkStart w:id="180" w:name="_Toc483640611"/>
      <w:bookmarkStart w:id="181" w:name="_Toc337822239"/>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20.成交通知书</w:t>
      </w:r>
      <w:bookmarkEnd w:id="178"/>
      <w:bookmarkEnd w:id="179"/>
      <w:bookmarkEnd w:id="180"/>
      <w:bookmarkEnd w:id="181"/>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20.1中标人确定后二个工作日内，中标结果在云南省政府采购网、云南省公共资源交易信息网、楚雄州公共资源交易电子服务系统网上公告，同时向成交投标人发出成交通知书。</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20.2 中标通知书是合同的一个组成部分。</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82" w:name="_Toc337822240"/>
      <w:bookmarkStart w:id="183" w:name="_Toc483640612"/>
      <w:bookmarkStart w:id="184" w:name="_Toc30599791"/>
      <w:bookmarkStart w:id="185" w:name="_Toc86124072"/>
      <w:bookmarkStart w:id="186" w:name="_Toc30514577"/>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21.签订合同</w:t>
      </w:r>
      <w:bookmarkEnd w:id="182"/>
      <w:bookmarkEnd w:id="183"/>
      <w:bookmarkEnd w:id="184"/>
      <w:bookmarkEnd w:id="185"/>
      <w:bookmarkEnd w:id="186"/>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21.1 中标人收到成交通知书后，按投标文件、投标文件及有关澄清承诺书的要求与采购人签订合同。</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21.2 中标人因不可抗力或者自身原因不能履行政府采购合同的，采购人可以与排位在成交投标人之后第一位的成交候选投标人签订政府采购合同，以此类推；或重新开展采购活动。拒绝签订政府采购合同的成交投标人不得参加对本项目重新开展的采购活动。</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87" w:name="_Toc86124073"/>
      <w:bookmarkStart w:id="188" w:name="_Toc337822241"/>
      <w:bookmarkStart w:id="189" w:name="_Toc30599792"/>
      <w:bookmarkStart w:id="190" w:name="_Toc483640613"/>
      <w:bookmarkStart w:id="191" w:name="_Toc30514578"/>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22.履约保证金</w:t>
      </w:r>
      <w:bookmarkEnd w:id="187"/>
      <w:bookmarkEnd w:id="188"/>
      <w:bookmarkEnd w:id="189"/>
      <w:bookmarkEnd w:id="190"/>
      <w:bookmarkEnd w:id="191"/>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192" w:name="_Toc337822242"/>
      <w:bookmarkStart w:id="193" w:name="_Toc86124074"/>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22.1 签订合同前，中标人应按“投标须知前附表”中确定的履约保证金的金额，向采购人交纳履约保证金，否则，视成交投标人违约，采购人将没收中标人的全部履约保证金。</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22.2 签订合同后，如中标人不按双方签订合同约定履约，则没收其全部履约保证金，履约保证金不足以赔偿损失的，按实际损失赔偿。</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22.3 履约保证金在成交投标人按合同约定验收合格后，按“投标须知前附表”规定的履约保证金退还时间，项目执行无误后，采购人无息退还。</w:t>
      </w:r>
    </w:p>
    <w:p>
      <w:pPr>
        <w:spacing w:line="360" w:lineRule="auto"/>
        <w:ind w:firstLine="320" w:firstLineChars="100"/>
        <w:jc w:val="cente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bookmarkStart w:id="194" w:name="_Toc30514579"/>
      <w:bookmarkStart w:id="195" w:name="_Toc483640614"/>
      <w:bookmarkStart w:id="196" w:name="_Toc30599793"/>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七、其他事项</w:t>
      </w:r>
      <w:bookmarkEnd w:id="192"/>
      <w:bookmarkEnd w:id="193"/>
      <w:bookmarkEnd w:id="194"/>
      <w:bookmarkEnd w:id="195"/>
      <w:bookmarkEnd w:id="196"/>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97" w:name="_Toc30599794"/>
      <w:bookmarkStart w:id="198" w:name="_Toc30514580"/>
      <w:bookmarkStart w:id="199" w:name="_Toc483640615"/>
      <w:bookmarkStart w:id="200" w:name="_Toc337822243"/>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23.质疑和投诉</w:t>
      </w:r>
      <w:bookmarkEnd w:id="197"/>
      <w:bookmarkEnd w:id="198"/>
      <w:bookmarkEnd w:id="199"/>
      <w:bookmarkEnd w:id="200"/>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投标人认为投标文件、投标过程和成交结果使自己的合法权益受到损害的，应当在知道或者应知其权益受到损害之日起七个工作日内，以书面形式向下列部门或采购人提出质疑。质疑内容不得含有虚假、恶意成分。提出质疑时应当有明确的请求和必要的证明材料，同时还必须提交相关证据材料和注明事实的确切来源。</w:t>
      </w:r>
    </w:p>
    <w:p>
      <w:pPr>
        <w:spacing w:line="240" w:lineRule="auto"/>
        <w:ind w:firstLine="240" w:firstLineChars="100"/>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受理质疑部门：牟定县农业农村局、云南诚昱招标代理有限公司；电话： 13887884040</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23.2投标人提供的质疑书（如材料中有外文资料应同时附上中文译本）应当包括以下主要内容：</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（1）投标人的姓名或者名称、地址、邮编、联系人及联系电话；</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（2）质疑项目的名称、编号；</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（3）具体、明确的质疑事项和与质疑事项相关的请求；</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（4）事实依据；</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（5）必要的法律依据；</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（6）质疑的日期；</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质疑书实行实名制，投标人为自然人的，应当由本人签字；投标人为法人或者其他组织的，应当由法定代表人、主要负责人，或者其授权代表签字或者盖章，并加盖公章。</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23.3 采购人或投标人对成交投标人提出质疑时，被质疑人应配合质疑处理部门的调查、处理工作，根据需要对举证材料须给予书面澄清回复和接受质询，其投标文件可公开的内容须接受任何形式的审查核实。</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23.4采购人、采购代理机构将在收到投标人的书面质疑后七个工作日内做出答复，但答复的内容不涉及商业秘密。</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23.5投诉人必须首先经过质疑程序，在对采购人、采购代理机构的答复不满意，或者采购人、采购代理机构未在规定的时间内做出答复的，可以在答复期满后十五个工作日内书面向政府采购监督管理部门投诉。</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201" w:name="_Toc483640616"/>
      <w:bookmarkStart w:id="202" w:name="_Toc30514581"/>
      <w:bookmarkStart w:id="203" w:name="_Toc30599795"/>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24.本次代理服务费</w:t>
      </w:r>
      <w:bookmarkEnd w:id="201"/>
      <w:bookmarkEnd w:id="202"/>
      <w:bookmarkEnd w:id="203"/>
      <w:bookmarkStart w:id="204" w:name="_Toc483640617"/>
      <w:bookmarkStart w:id="205" w:name="_Toc379789628"/>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本次代理服务费按国家计委（2002）1980号文件规定的收费标准、国家发展改革委员会发改办价格[2003]857号文及发改委（2011）534号文的规定收取，由中标人承担（请投标人予以关注）。</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206" w:name="_Toc30514582"/>
      <w:bookmarkStart w:id="207" w:name="_Toc30599796"/>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25.实质性变动</w:t>
      </w:r>
      <w:bookmarkEnd w:id="204"/>
      <w:bookmarkEnd w:id="205"/>
      <w:bookmarkEnd w:id="206"/>
      <w:bookmarkEnd w:id="207"/>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（1）在投标过程中，评标委员会可以根据投标文件和投标情况实质性变动采购需求中的技术、服务要求以及合同草案条款，但不得变动投标文件中的其他内容。实质性变动的内容，须经采购人代表确认。</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（2）对投标文件作出的实质性变动是投标文件的有效组成部分，评标小组应当及时以书面形式同时通知所有参加投标的投标人。</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投标人应当按照投标文件的变动情况和评标小组的要求重新提交投标文件，并由其法定代表人或授权代表签字或者加盖公章。由授权代表签字的，应当附法定代表人授权书。投标人为自然人的，应当由本人签字并附身份证明。</w:t>
      </w:r>
    </w:p>
    <w:p>
      <w:pPr>
        <w:spacing w:line="240" w:lineRule="auto"/>
        <w:ind w:firstLine="240" w:firstLineChars="1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208" w:name="_Toc86124077"/>
      <w:bookmarkStart w:id="209" w:name="_Toc30514583"/>
      <w:bookmarkStart w:id="210" w:name="_Toc30599797"/>
      <w:bookmarkStart w:id="211" w:name="_Toc483640618"/>
      <w:bookmarkStart w:id="212" w:name="_Toc337822246"/>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26.需要补充的其他内容</w:t>
      </w:r>
      <w:bookmarkEnd w:id="208"/>
      <w:bookmarkEnd w:id="209"/>
      <w:bookmarkEnd w:id="210"/>
      <w:bookmarkEnd w:id="211"/>
      <w:bookmarkEnd w:id="212"/>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26.1见投标须知一览表。</w:t>
      </w:r>
    </w:p>
    <w:p>
      <w:pPr>
        <w:spacing w:line="24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26.2 附表《电子投标文件编制及报送要求》</w:t>
      </w:r>
    </w:p>
    <w:p>
      <w:pPr>
        <w:spacing w:line="36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br w:type="page"/>
      </w:r>
    </w:p>
    <w:p>
      <w:pPr>
        <w:pStyle w:val="37"/>
        <w:spacing w:line="360" w:lineRule="auto"/>
        <w:ind w:left="960" w:firstLine="1921" w:firstLineChars="800"/>
        <w:jc w:val="both"/>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电子投标文件编制及报送要求</w:t>
      </w:r>
    </w:p>
    <w:p>
      <w:pPr>
        <w:pStyle w:val="38"/>
        <w:spacing w:line="240" w:lineRule="auto"/>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1、电子投标文件的制作必须使用《政府采购投标文件编制系统》，生成电子签名的技术标投标文件，格式为 *.ZCTBJ （此文件必须网上递交）。</w:t>
      </w:r>
    </w:p>
    <w:p>
      <w:pPr>
        <w:pStyle w:val="38"/>
        <w:spacing w:line="240" w:lineRule="auto"/>
        <w:rPr>
          <w:rFonts w:ascii="华文中宋" w:hAnsi="华文中宋" w:eastAsia="华文中宋"/>
          <w:sz w:val="24"/>
          <w:szCs w:val="24"/>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2、《政府采购投标文件编制系统》提供数字证书（ CA ）对投标文件进行加密功能。投标人对网上递交的投标文件应加密，由投标人自行选择是否对投标文件进行数字证书（ CA ）加密。如果投标人使用某个数字证书（ CA ）对投标文件进行了数字证书（ CA ）加密，需要在开标会上使用该数字证书（ CA ）进行现场解密，才能读取或导入投标文件，因投标人原因造成投标文件未解密的，视为撤回其投标文件</w:t>
      </w: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（温馨提示：登录及电子签名时需要用企业CA锁，解密时需要用投标文件加密的CA锁，为了不频繁更换CA锁影响解密及签名确认，故建议投标文件加密时采用企业CA锁进行加密）。</w:t>
      </w:r>
    </w:p>
    <w:p>
      <w:pPr>
        <w:pStyle w:val="38"/>
        <w:spacing w:line="240" w:lineRule="auto"/>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3、网上递交投标文件应根据招标文件要求，在投标截止时间前将电子投标文件通过网上上传指定的开标项目，并打印“上传投标文件回执”，以表明上传成功。</w:t>
      </w:r>
    </w:p>
    <w:p>
      <w:pPr>
        <w:pStyle w:val="38"/>
        <w:spacing w:line="240" w:lineRule="auto"/>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4、投标人投标时，须按本附件 “电子投标文件编制及报送要求”规定编制及网上递交电子投标文件，如果投标人没有按规定网上递交电子投标文件，视为投标无效。</w:t>
      </w:r>
    </w:p>
    <w:p>
      <w:pPr>
        <w:pStyle w:val="38"/>
        <w:spacing w:line="240" w:lineRule="auto"/>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5、该投标文件制作及报送要求制作文件内容冲突，以本招标文件要求及本附表投标文件制作及报送要求为准。</w:t>
      </w:r>
    </w:p>
    <w:p>
      <w:pPr>
        <w:pStyle w:val="38"/>
        <w:spacing w:line="240" w:lineRule="auto"/>
        <w:rPr>
          <w:rFonts w:ascii="华文中宋" w:hAnsi="华文中宋" w:eastAsia="华文中宋"/>
          <w:sz w:val="24"/>
          <w:szCs w:val="24"/>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7、在编制技术标投标文件时，粘贴图片使用JPG格式的文件，并且每张图片的分辩率建议大于100dpi（注意在制作投标文件中压缩后导致图片清晰度降低，影响投标），最终的每份标书文件所占用的磁盘空间必须小于100M。</w:t>
      </w:r>
    </w:p>
    <w:p>
      <w:pPr>
        <w:pStyle w:val="38"/>
        <w:spacing w:line="240" w:lineRule="auto"/>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注：不同单位的投标文件若芯片序列号、硬盘序列号、网卡序列号一致，视为由同一台电脑编制！</w:t>
      </w:r>
    </w:p>
    <w:p>
      <w:pPr>
        <w:pStyle w:val="3"/>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bookmarkStart w:id="213" w:name="_Toc30637"/>
      <w:bookmarkStart w:id="214" w:name="_Toc30514584"/>
      <w:bookmarkStart w:id="215" w:name="_Toc30599798"/>
    </w:p>
    <w:p>
      <w:pPr>
        <w:pStyle w:val="2"/>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p>
    <w:p>
      <w:pPr>
        <w:rPr>
          <w:rFonts w:hint="eastAsia"/>
          <w:lang w:val="en-US" w:eastAsia="zh-CN"/>
        </w:rPr>
      </w:pPr>
    </w:p>
    <w:p>
      <w:pPr>
        <w:pStyle w:val="3"/>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第三章评审办法（综合评分法）</w:t>
      </w:r>
      <w:bookmarkEnd w:id="213"/>
      <w:bookmarkEnd w:id="214"/>
      <w:bookmarkEnd w:id="215"/>
    </w:p>
    <w:p>
      <w:pPr>
        <w:pStyle w:val="4"/>
      </w:pPr>
      <w:bookmarkStart w:id="216" w:name="_Toc144974555"/>
      <w:bookmarkStart w:id="217" w:name="_Toc152045588"/>
      <w:bookmarkStart w:id="218" w:name="_Toc152042365"/>
      <w:bookmarkStart w:id="219" w:name="_Toc412709519"/>
      <w:bookmarkStart w:id="220" w:name="_Toc247085746"/>
      <w:bookmarkStart w:id="221" w:name="_Toc246996231"/>
      <w:bookmarkStart w:id="222" w:name="_Toc30514585"/>
      <w:bookmarkStart w:id="223" w:name="_Toc246996974"/>
      <w:bookmarkStart w:id="224" w:name="_Toc30599799"/>
      <w:bookmarkStart w:id="225" w:name="_Toc22428"/>
      <w:bookmarkStart w:id="226" w:name="_Toc1734"/>
      <w:bookmarkStart w:id="227" w:name="_Toc485159196"/>
      <w:bookmarkStart w:id="228" w:name="_Toc179632606"/>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评标办法前附表</w:t>
      </w:r>
      <w:bookmarkEnd w:id="216"/>
      <w:bookmarkEnd w:id="217"/>
      <w:bookmarkEnd w:id="218"/>
      <w:bookmarkEnd w:id="219"/>
      <w:bookmarkEnd w:id="220"/>
      <w:bookmarkEnd w:id="221"/>
      <w:bookmarkEnd w:id="222"/>
      <w:bookmarkEnd w:id="223"/>
      <w:bookmarkEnd w:id="224"/>
      <w:bookmarkEnd w:id="225"/>
      <w:bookmarkEnd w:id="226"/>
      <w:bookmarkEnd w:id="227"/>
      <w:bookmarkEnd w:id="228"/>
    </w:p>
    <w:tbl>
      <w:tblPr>
        <w:tblStyle w:val="16"/>
        <w:tblW w:w="10521" w:type="dxa"/>
        <w:tblInd w:w="-82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1010"/>
        <w:gridCol w:w="23"/>
        <w:gridCol w:w="3946"/>
        <w:gridCol w:w="46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928" w:type="dxa"/>
            <w:gridSpan w:val="2"/>
            <w:tcBorders>
              <w:top w:val="single" w:color="auto" w:sz="4" w:space="0"/>
              <w:bottom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条款号</w:t>
            </w: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评审因素</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18" w:type="dxa"/>
            <w:vMerge w:val="restart"/>
            <w:tcBorders>
              <w:top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（一）</w:t>
            </w:r>
          </w:p>
        </w:tc>
        <w:tc>
          <w:tcPr>
            <w:tcW w:w="1010" w:type="dxa"/>
            <w:vMerge w:val="restart"/>
            <w:tcBorders>
              <w:top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资格要求</w:t>
            </w:r>
          </w:p>
        </w:tc>
        <w:tc>
          <w:tcPr>
            <w:tcW w:w="859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投标人应当具备《中华人民共和国政府采购法》第二十二条规定的条件：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18"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1010"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1. 具有独立承担民事责任的能力</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提供法人或者其他组织的营业执照等证明文件、</w:t>
            </w:r>
            <w: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t>营业执照经营范围包含本次采购内容</w:t>
            </w: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18"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1010"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2.具有良好的商业信誉和健全的财务会计制度</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提供近三年其中任意一年经会计师事务所或审计机构出具的财务报表及审计报告或提供银行出具的资信证明；投标人为新注册的（投标文件递交时间止成立未满一年的）提供近期其中任意一个月的财务状况报表。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18"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1010"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3.具有履行合同所必需的设备和专业技术能力</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提供合同所必需的设备、工具和专业技术人员的相关材料。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18"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1010"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4.有依法缴纳税收和社会保障资金的良好记录</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至少提供近期三个月内其中任意一个月缴纳税收和社保的凭证；如依法免税或不需要缴纳社会保障资金的，应提供相应文件证明。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18"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1010"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5. 参加政府采购活动前三年内，在经营活动中没有重大违法记录。</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提供声明函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918"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1010"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6.法律、行政法规规定的其他条件：</w:t>
            </w:r>
          </w:p>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6.1截止到评审时间止，未被“信用中国”网站（www.creditchina.gov.cn）中列入失信被执行人和重大税收违法案件当事人名单（处罚期限尚未届满的）。</w:t>
            </w:r>
          </w:p>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6.2截止到评审时间止，未被“中国政府采购网”网站（www.ccgp.gov.cn）列入政府采购严重违法失信行为记录名单（处罚期限尚未届满的）。</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由采购代理机构通过“信用中国”网站（www.creditchina.gov.cn）和中国政府采购网”网站（www.ccgp.gov.cn）查询结果以确定投标投标人是否具备投标资格。</w:t>
            </w:r>
          </w:p>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918" w:type="dxa"/>
            <w:vMerge w:val="continue"/>
            <w:tcBorders>
              <w:bottom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1010" w:type="dxa"/>
            <w:vMerge w:val="continue"/>
            <w:tcBorders>
              <w:bottom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sz w:val="21"/>
                <w:szCs w:val="21"/>
                <w:lang w:val="en-US" w:eastAsia="zh-CN"/>
              </w:rPr>
              <w:t>特定资格要求</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1.投标产品的生产厂家必须是农业部的定点生产企业；并通过农业部GMP认证、或有销售资质的经销商（必须获得省农业厅生物制品GSP认证的企业），具有兽药生产许可证或兽药经营许可证；</w:t>
            </w:r>
          </w:p>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2.供应商所投标产品须有正式有效的批准文号和2019年12月1日至本项目投标截止日期前出具的（供应商出具连续3个批次）检验报告（指由中国兽医药品监察所审核意见的《兽用生物制品生产与检验报告》）；</w:t>
            </w:r>
          </w:p>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3. 所投产品必须具有农业部颁发的国家兽药生产许可证或兽药经营许可证；</w:t>
            </w:r>
          </w:p>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4.所投产品必须具有农业部兽药产品批准文号；</w:t>
            </w:r>
          </w:p>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5.不接受进口产品投标。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918" w:type="dxa"/>
            <w:vMerge w:val="restart"/>
            <w:tcBorders>
              <w:top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（二）</w:t>
            </w:r>
          </w:p>
        </w:tc>
        <w:tc>
          <w:tcPr>
            <w:tcW w:w="1010" w:type="dxa"/>
            <w:vMerge w:val="restart"/>
            <w:tcBorders>
              <w:top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符合性评审标准</w:t>
            </w: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投标报价</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完整且只有一个有效报价。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918" w:type="dxa"/>
            <w:vMerge w:val="continue"/>
            <w:tcBorders>
              <w:top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1010" w:type="dxa"/>
            <w:vMerge w:val="continue"/>
            <w:tcBorders>
              <w:top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投标函</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符合招标文件给定格式及内容并加盖电子公章。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918" w:type="dxa"/>
            <w:vMerge w:val="continue"/>
            <w:tcBorders>
              <w:top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1010" w:type="dxa"/>
            <w:vMerge w:val="continue"/>
            <w:tcBorders>
              <w:top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法定代表人身份证明书</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符合招标文件给定格式及内容,并加盖鲜章。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918" w:type="dxa"/>
            <w:vMerge w:val="continue"/>
            <w:tcBorders>
              <w:top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1010" w:type="dxa"/>
            <w:vMerge w:val="continue"/>
            <w:tcBorders>
              <w:top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法定代表人授权委托书</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有法定代表人及其委托代理人签字或盖章，并加盖鲜章；符合招标文件给定格式及内容。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918"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1010"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投标有效期</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符合第二章“投标人须知”第11.1项规定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918"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1010" w:type="dxa"/>
            <w:vMerge w:val="continue"/>
            <w:tcBorders>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其它实质性条件</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按本章“二、评审标准”2.3.3条规定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897" w:type="dxa"/>
            <w:gridSpan w:val="4"/>
            <w:tcBorders>
              <w:top w:val="single" w:color="auto" w:sz="4" w:space="0"/>
              <w:bottom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详细评审</w:t>
            </w:r>
          </w:p>
        </w:tc>
        <w:tc>
          <w:tcPr>
            <w:tcW w:w="46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采用综合评分法。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01" w:hRule="atLeast"/>
        </w:trPr>
        <w:tc>
          <w:tcPr>
            <w:tcW w:w="918" w:type="dxa"/>
            <w:vMerge w:val="restart"/>
            <w:tcBorders>
              <w:top w:val="single" w:color="auto" w:sz="4" w:space="0"/>
              <w:right w:val="single" w:color="auto" w:sz="4" w:space="0"/>
            </w:tcBorders>
            <w:vAlign w:val="center"/>
          </w:tcPr>
          <w:p>
            <w:pPr>
              <w:tabs>
                <w:tab w:val="center" w:pos="4153"/>
                <w:tab w:val="right" w:pos="8306"/>
              </w:tabs>
              <w:spacing w:line="320" w:lineRule="exact"/>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（三）</w:t>
            </w:r>
          </w:p>
        </w:tc>
        <w:tc>
          <w:tcPr>
            <w:tcW w:w="1033" w:type="dxa"/>
            <w:gridSpan w:val="2"/>
            <w:vMerge w:val="restart"/>
            <w:tcBorders>
              <w:top w:val="single" w:color="auto" w:sz="4" w:space="0"/>
              <w:right w:val="single" w:color="auto" w:sz="4" w:space="0"/>
            </w:tcBorders>
            <w:vAlign w:val="center"/>
          </w:tcPr>
          <w:p>
            <w:pPr>
              <w:autoSpaceDE w:val="0"/>
              <w:autoSpaceDN w:val="0"/>
              <w:spacing w:line="320" w:lineRule="exact"/>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详细评审标准</w:t>
            </w:r>
          </w:p>
        </w:tc>
        <w:tc>
          <w:tcPr>
            <w:tcW w:w="3946" w:type="dxa"/>
            <w:tcBorders>
              <w:top w:val="single" w:color="auto" w:sz="4" w:space="0"/>
              <w:left w:val="single" w:color="auto" w:sz="4" w:space="0"/>
              <w:bottom w:val="single" w:color="auto" w:sz="4" w:space="0"/>
              <w:right w:val="single" w:color="auto" w:sz="4" w:space="0"/>
            </w:tcBorders>
            <w:vAlign w:val="center"/>
          </w:tcPr>
          <w:p>
            <w:pPr>
              <w:ind w:left="-91" w:leftChars="-38"/>
              <w:jc w:val="both"/>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（1）投标报价评分（满分30分）</w:t>
            </w:r>
          </w:p>
        </w:tc>
        <w:tc>
          <w:tcPr>
            <w:tcW w:w="4624" w:type="dxa"/>
            <w:tcBorders>
              <w:top w:val="single" w:color="auto" w:sz="4" w:space="0"/>
              <w:left w:val="single" w:color="auto" w:sz="4" w:space="0"/>
              <w:bottom w:val="single" w:color="auto" w:sz="4" w:space="0"/>
              <w:right w:val="single" w:color="auto" w:sz="4" w:space="0"/>
            </w:tcBorders>
            <w:vAlign w:val="center"/>
          </w:tcPr>
          <w:p>
            <w:pPr>
              <w:ind w:firstLine="210" w:firstLineChars="100"/>
              <w:jc w:val="both"/>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满足招标文件要求且投标报价最低的报价为评标基准价，其价格分为满分。其他投标人的价格分，统一按照下列公式计算：</w:t>
            </w:r>
          </w:p>
          <w:p>
            <w:pPr>
              <w:ind w:firstLine="210" w:firstLineChars="100"/>
              <w:jc w:val="both"/>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投标报价得分=（评标基准价／投标报价）×30；分数不为整数时保留2位小数。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918"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1033" w:type="dxa"/>
            <w:gridSpan w:val="2"/>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946" w:type="dxa"/>
            <w:tcBorders>
              <w:top w:val="single" w:color="auto" w:sz="4" w:space="0"/>
              <w:left w:val="single" w:color="auto" w:sz="4" w:space="0"/>
              <w:bottom w:val="single" w:color="auto" w:sz="4" w:space="0"/>
              <w:right w:val="single" w:color="auto" w:sz="4" w:space="0"/>
            </w:tcBorders>
            <w:vAlign w:val="center"/>
          </w:tcPr>
          <w:p>
            <w:pPr>
              <w:ind w:left="-91" w:leftChars="-38"/>
              <w:jc w:val="both"/>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（2）货物的响应性评分（满分30分）</w:t>
            </w:r>
          </w:p>
        </w:tc>
        <w:tc>
          <w:tcPr>
            <w:tcW w:w="46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918"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1033" w:type="dxa"/>
            <w:gridSpan w:val="2"/>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946" w:type="dxa"/>
            <w:tcBorders>
              <w:top w:val="single" w:color="auto" w:sz="4" w:space="0"/>
              <w:left w:val="single" w:color="auto" w:sz="4" w:space="0"/>
              <w:bottom w:val="single" w:color="auto" w:sz="4" w:space="0"/>
              <w:right w:val="single" w:color="auto" w:sz="4" w:space="0"/>
            </w:tcBorders>
            <w:vAlign w:val="center"/>
          </w:tcPr>
          <w:p>
            <w:pPr>
              <w:ind w:left="-91" w:leftChars="-38"/>
              <w:jc w:val="both"/>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（3）供货期限承诺及保障措施审查评分（满分15分）</w:t>
            </w:r>
          </w:p>
        </w:tc>
        <w:tc>
          <w:tcPr>
            <w:tcW w:w="46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918"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1033" w:type="dxa"/>
            <w:gridSpan w:val="2"/>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946" w:type="dxa"/>
            <w:tcBorders>
              <w:top w:val="single" w:color="auto" w:sz="4" w:space="0"/>
              <w:left w:val="single" w:color="auto" w:sz="4" w:space="0"/>
              <w:bottom w:val="single" w:color="auto" w:sz="4" w:space="0"/>
              <w:right w:val="single" w:color="auto" w:sz="4" w:space="0"/>
            </w:tcBorders>
            <w:vAlign w:val="center"/>
          </w:tcPr>
          <w:p>
            <w:pPr>
              <w:ind w:left="-91" w:leftChars="-38"/>
              <w:jc w:val="both"/>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（4）质量承诺及保障措施评分（满分15分）</w:t>
            </w:r>
          </w:p>
        </w:tc>
        <w:tc>
          <w:tcPr>
            <w:tcW w:w="46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918"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1033" w:type="dxa"/>
            <w:gridSpan w:val="2"/>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946" w:type="dxa"/>
            <w:tcBorders>
              <w:top w:val="single" w:color="auto" w:sz="4" w:space="0"/>
              <w:left w:val="single" w:color="auto" w:sz="4" w:space="0"/>
              <w:bottom w:val="single" w:color="auto" w:sz="4" w:space="0"/>
              <w:right w:val="single" w:color="auto" w:sz="4" w:space="0"/>
            </w:tcBorders>
            <w:vAlign w:val="center"/>
          </w:tcPr>
          <w:p>
            <w:pPr>
              <w:ind w:left="-91" w:leftChars="-38"/>
              <w:jc w:val="both"/>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（5）项目经验评分（满分5分）</w:t>
            </w:r>
          </w:p>
        </w:tc>
        <w:tc>
          <w:tcPr>
            <w:tcW w:w="46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918"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1033" w:type="dxa"/>
            <w:gridSpan w:val="2"/>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946" w:type="dxa"/>
            <w:tcBorders>
              <w:top w:val="single" w:color="auto" w:sz="4" w:space="0"/>
              <w:left w:val="single" w:color="auto" w:sz="4" w:space="0"/>
              <w:bottom w:val="single" w:color="auto" w:sz="4" w:space="0"/>
              <w:right w:val="single" w:color="auto" w:sz="4" w:space="0"/>
            </w:tcBorders>
            <w:vAlign w:val="center"/>
          </w:tcPr>
          <w:p>
            <w:pPr>
              <w:ind w:left="-91" w:leftChars="-38"/>
              <w:jc w:val="both"/>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（6）投标文件响应评分（满分5分）</w:t>
            </w:r>
          </w:p>
        </w:tc>
        <w:tc>
          <w:tcPr>
            <w:tcW w:w="46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1"/>
                <w:szCs w:val="21"/>
                <w:lang w:val="en-US" w:eastAsia="zh-CN" w:bidi="ar-SA"/>
                <w14:textFill>
                  <w14:solidFill>
                    <w14:schemeClr w14:val="tx1"/>
                  </w14:solidFill>
                </w14:textFill>
              </w:rPr>
              <w:t>见本章2.4详细评审</w:t>
            </w:r>
          </w:p>
        </w:tc>
      </w:tr>
    </w:tbl>
    <w:p>
      <w:pPr>
        <w:spacing w:line="360" w:lineRule="auto"/>
        <w:ind w:firstLine="240" w:firstLineChars="100"/>
        <w:jc w:val="both"/>
        <w:outlineLvl w:val="2"/>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bookmarkStart w:id="229" w:name="_Toc485159197"/>
    </w:p>
    <w:p>
      <w:pP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p>
      <w:pPr>
        <w:spacing w:line="240" w:lineRule="auto"/>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bookmarkStart w:id="230" w:name="_Toc30599800"/>
      <w:bookmarkStart w:id="231" w:name="_Toc30514586"/>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一、评标方法</w:t>
      </w:r>
      <w:bookmarkEnd w:id="229"/>
      <w:bookmarkEnd w:id="230"/>
      <w:bookmarkEnd w:id="231"/>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（一）本项目评标办法根据《中华人民共和国政府采购法》、《政府采购货物和服务招标投标管理办法》（财政部令第87号）等有关法律法规制定，本项目采用综合评分法。</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（二）本办法是评标委员会确定中标候选人的依据，在评标过程中应充分体现公平、公正、科学、择优的原则。</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（三）采购人或者采购代理机构进行资格审查。</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（四）评标委员会在评标时分三个阶段进行：</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第一阶段为符合性检查</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第二阶段为详细评审</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第三阶段为推荐中标候选人并提交书面评标报告</w:t>
      </w:r>
    </w:p>
    <w:p>
      <w:pPr>
        <w:spacing w:line="240" w:lineRule="auto"/>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bookmarkStart w:id="232" w:name="_Toc254615867"/>
      <w:bookmarkStart w:id="233" w:name="_Toc258927888"/>
      <w:bookmarkStart w:id="234" w:name="_Toc485159198"/>
      <w:bookmarkStart w:id="235" w:name="_Toc30514587"/>
      <w:bookmarkStart w:id="236" w:name="_Toc30599801"/>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二、</w:t>
      </w:r>
      <w:bookmarkEnd w:id="232"/>
      <w:bookmarkEnd w:id="233"/>
      <w:bookmarkEnd w:id="234"/>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评标标准</w:t>
      </w:r>
      <w:bookmarkEnd w:id="235"/>
      <w:bookmarkEnd w:id="236"/>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bookmarkStart w:id="237" w:name="_Toc299695793"/>
      <w:bookmarkStart w:id="238" w:name="_Toc210021567"/>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（一）资格检查标准：</w:t>
      </w:r>
    </w:p>
    <w:p>
      <w:pPr>
        <w:spacing w:line="240" w:lineRule="auto"/>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资格评审标准：依据法律法规和招标文件的规定，采购人或者采购代理机构依法对投标人的投标文件中的资格证明进行审查，以确定投标投标人是否具备投标资格；见评标办法前附表。</w:t>
      </w:r>
    </w:p>
    <w:p>
      <w:pPr>
        <w:spacing w:line="240" w:lineRule="auto"/>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备注：</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1.上述检查标准中，若有其一不满足要求，则不通过资格性检查，投标文件不得进入下一阶段评审；</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2.采购人或者采购代理机构将根据招标文件规定的要求对投标文件资格性检查资料进行认真、详细的审查；</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3.对未通过资格性检查的投标人，招标人或招标代理机构将不作任何解释。所有投标人的投标文件均不退还。</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（二）符合性检查标准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1.评标时，评标委员会依据招标文件的规定，从投标文件的有效性、完整性和对招标文件的响应程度进行审查，以确定是否对招标文件的实质性要求做出响应。</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2.如果投标文件实质上不响应招标文件的各项要求，评标委员会将予以拒绝，并且不允许投标人通过修改或撤消，使之成为具有响应性的投标。</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3.投标文件属下列情况之一的，在符合性检查时按照无效投标处理。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（1）未按照招标文件规定要求密封、签署、盖章的。</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（2）不符合法律、法规和招标文件中规定的其他实质性要求的。</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（3）不同投标人的投标文件由同一单位或者个人编制(不同单位的投标文件若芯片序列号、硬盘序列号、网卡序列号一致，视为由同一台电脑编制)。</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（4）不同投标人委托同一单位或者个人办理投标事宜。</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（5）不同投标人的投标文件载明的项目管理成员或者联系人员为同一人。</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（6）不同投标人的投标文件异常一致或者投标报价呈规律性差异。</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（7）不同投标人的投标文件相互混装。</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（8）投标单位法定代表人或其委托代理人未参加开标会的。</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（9）投标人对招标文件的要求未做出实质性响应。</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（10）投标人未按招标文件出具必须提供的有关资格、资质证明材料或提供虚假投标材料。</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（11）投标人在投标有效期内撤回投标。</w:t>
      </w:r>
    </w:p>
    <w:p>
      <w:pPr>
        <w:spacing w:line="240" w:lineRule="auto"/>
        <w:ind w:firstLine="480" w:firstLineChars="200"/>
        <w:rPr>
          <w:rFonts w:ascii="华文中宋" w:hAnsi="华文中宋" w:eastAsia="华文中宋" w:cs="Times New Roman"/>
          <w:b/>
          <w:szCs w:val="24"/>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（12）投标人的报价超过了采购预算的。</w:t>
      </w:r>
    </w:p>
    <w:p>
      <w:pPr>
        <w:spacing w:line="240" w:lineRule="auto"/>
        <w:ind w:firstLine="480" w:firstLineChars="200"/>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（三）详细评审</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 xml:space="preserve"> 1.评标委员会按本章规定的量化因素和分值进行打分，并计算出投标人的报价总得分。对投标人的价格分等客观评分项的评分应当一致，对其他需要借助专业知识评判的主观评分项，应当严格按照评分细则公正评分。评标委员会成员要依法独立评审，并对评审意见承担个人责任。评标委员会成员对需要共同认定的事项存在争议的，按照少数服从多数的原则做出结论。持不同意见的评标委员会成员应当在评标报告上签署不同意见并说明理由，否则视为同意。</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详细评审中的2～6项，由评标委员会评委成员独立评分，评标委员会全体成员的评分计算出平均得分，为投标人评审因素最后得分（保留小数点后两位，第三位“四舍五入”）。</w:t>
      </w:r>
    </w:p>
    <w:bookmarkEnd w:id="237"/>
    <w:p>
      <w:pPr>
        <w:spacing w:line="240" w:lineRule="auto"/>
        <w:ind w:firstLine="480" w:firstLineChars="200"/>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（1）投标报价评分（满分30分）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满足招标文件要求且投标报价最低的报价为评标基准价，其价格分为满分。其他投标人的价格分，统一按照下列公式计算：</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投标报价得分=（评标基准价／投标报价）×30；分数不为整数时保留2位小数。</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注：投标单位为：监狱企业、中小微型、残疾人福利性单位；节能环保标志产品，在此项价格扣除并计算分值。</w:t>
      </w:r>
    </w:p>
    <w:p>
      <w:pPr>
        <w:spacing w:line="240" w:lineRule="auto"/>
        <w:ind w:firstLine="480" w:firstLineChars="200"/>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（2）货物的响应性评分（满分30分）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投标人针对招标文件中规定的货物清单，提供的技术偏离表、对投标的技术参数、技术指标、技术性能、检测报告进行评审评分。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第一档完全符合或优于招标文件要求，并提供证明材料得22~30分；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第二档基本符合招标文件要求，少部分负偏离的得20~21分；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第三档少部分符合招标文件要求，大部分负偏离的得1~19分；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第四档完全不符合招标文件要求的得0分；</w:t>
      </w:r>
    </w:p>
    <w:p>
      <w:pPr>
        <w:spacing w:line="240" w:lineRule="auto"/>
        <w:ind w:firstLine="480" w:firstLineChars="200"/>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（3）供货期限承诺及保障措施审查评分（满分15分）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根据产品生产厂家及投标人对投标产品的供货期限承诺、保障措施及相关伴随服务进行评定。</w:t>
      </w:r>
    </w:p>
    <w:p>
      <w:pPr>
        <w:spacing w:line="240" w:lineRule="auto"/>
        <w:ind w:firstLine="480" w:firstLineChars="200"/>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第一档投标文件中有具体、完整、确实可行的供货期限承诺及保障措施且有具体违约责</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任承诺的视情况得10～15分；</w:t>
      </w:r>
    </w:p>
    <w:p>
      <w:pPr>
        <w:spacing w:line="240" w:lineRule="auto"/>
        <w:ind w:firstLine="480" w:firstLineChars="200"/>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第二档投标文件中的供货期限承诺及保障措施基本可行，违约责任一般的视情况得4～9分；</w:t>
      </w:r>
    </w:p>
    <w:p>
      <w:pPr>
        <w:spacing w:line="240" w:lineRule="auto"/>
        <w:ind w:firstLine="480" w:firstLineChars="200"/>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第三档投标文件中供货期限承诺及保障措施较差的得</w:t>
      </w: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（0-3分）</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w:t>
      </w:r>
    </w:p>
    <w:p>
      <w:pPr>
        <w:numPr>
          <w:ilvl w:val="0"/>
          <w:numId w:val="1"/>
        </w:numPr>
        <w:spacing w:line="240" w:lineRule="auto"/>
        <w:ind w:firstLine="480" w:firstLineChars="200"/>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质量承诺及保障措施评分（满分15分）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根据产品生产厂家及投标人对投标产品的相关质量承诺及保障措施进行评定。</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第一档投标文件中有具体、完整、确实可行的质量承诺及保障措施且有具体违约责任承诺的视情况得10～15分；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第二档投标文件中的质量承诺及保障措施基本可行性，违约责任一般的视情况得4～9分；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第三档投标文件中质量承诺及保障措施较差的得（0-3分）</w:t>
      </w:r>
    </w:p>
    <w:p>
      <w:pPr>
        <w:spacing w:line="240" w:lineRule="auto"/>
        <w:ind w:firstLine="480" w:firstLineChars="200"/>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（5）项目经验评分（满分5分）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提供近三年（2017年07月至至今）同类设备经验证明材料一个加1分。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注：类似证明材料为：中标通知书、合同、验收报告、用户证明等其中一项为准。</w:t>
      </w:r>
    </w:p>
    <w:p>
      <w:pPr>
        <w:spacing w:line="240" w:lineRule="auto"/>
        <w:ind w:firstLine="480" w:firstLineChars="200"/>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（6）投标文件响应评分（满分5分）</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电子投标文件内容完整、资料齐全、严谨周密，编制水平优、文件层次分明、章节清晰情况、含义明确情况、同类问题表述情况、文字和计算错误的内容等进行评审：</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第一个档次 (4~5)分：上述内容提交的电子投标文件优，与本项目切合实际，各类的材料清晰可见。</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第二个档次[1~3]分：上述内容提交的电子投标文件良，与本项目切合实际，各类的材料清晰可见，但出现部分瑕疵。</w:t>
      </w:r>
    </w:p>
    <w:p>
      <w:pPr>
        <w:spacing w:line="240" w:lineRule="auto"/>
        <w:ind w:firstLine="480" w:firstLineChars="200"/>
        <w:rPr>
          <w:rFonts w:ascii="华文中宋" w:hAnsi="华文中宋" w:eastAsia="华文中宋" w:cs="Times New Roman"/>
          <w:bCs/>
          <w:szCs w:val="24"/>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第三个档次[0]分：上述内容在提交的电子投标文件差，与本项目不切合实际，明显有生搬硬套部分，部分材料模糊，难于分辨。</w:t>
      </w:r>
    </w:p>
    <w:p>
      <w:pPr>
        <w:spacing w:line="240" w:lineRule="auto"/>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bookmarkStart w:id="239" w:name="_Toc485159199"/>
      <w:bookmarkStart w:id="240" w:name="_Toc30599802"/>
      <w:bookmarkStart w:id="241" w:name="_Toc30514588"/>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三、评标结果</w:t>
      </w:r>
      <w:bookmarkEnd w:id="239"/>
      <w:bookmarkEnd w:id="240"/>
      <w:bookmarkEnd w:id="241"/>
    </w:p>
    <w:bookmarkEnd w:id="238"/>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1.评标委员会按评审后的综合得分由高至低顺序推荐3名中标候选人，综合得分相同的，按照“优先就近采购原则”推荐第一中标候选人。</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2.评标委员会完成评标后，应当向采购人提交书面评标报告。</w:t>
      </w:r>
    </w:p>
    <w:p>
      <w:pPr>
        <w:spacing w:line="24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3.评标委员会发现招标文件存在歧义、重大缺陷导致评审工作无法进行，或者招标文件内容违反国家有关规定的，要停止评审工作并向采购人或采购代理机构书面说明情况，采购人或采购代理机构应当修改招标文件后重新组织采购活动；发现投标人提供虚假材料、串通等违法违规行为的，要及时向采购人或采购代理机构报告。</w:t>
      </w:r>
    </w:p>
    <w:p>
      <w:pPr>
        <w:spacing w:line="360" w:lineRule="auto"/>
        <w:ind w:firstLine="360" w:firstLineChars="150"/>
        <w:jc w:val="both"/>
        <w:rPr>
          <w:rFonts w:ascii="华文中宋" w:hAnsi="华文中宋" w:eastAsia="华文中宋" w:cs="Times New Roman"/>
          <w:szCs w:val="24"/>
        </w:rPr>
      </w:pPr>
    </w:p>
    <w:p>
      <w:pPr>
        <w:widowControl/>
        <w:rPr>
          <w:rFonts w:ascii="华文中宋" w:hAnsi="华文中宋" w:eastAsia="华文中宋"/>
          <w:b/>
          <w:bCs/>
          <w:color w:val="000000"/>
          <w:sz w:val="30"/>
        </w:rPr>
      </w:pPr>
      <w:bookmarkStart w:id="242" w:name="_Toc487473023"/>
      <w:r>
        <w:rPr>
          <w:rFonts w:ascii="华文中宋" w:hAnsi="华文中宋" w:eastAsia="华文中宋"/>
        </w:rPr>
        <w:br w:type="page"/>
      </w:r>
    </w:p>
    <w:p>
      <w:pPr>
        <w:pStyle w:val="3"/>
        <w:rPr>
          <w:rFonts w:hint="eastAsia" w:ascii="方正仿宋简体" w:hAnsi="方正仿宋简体" w:eastAsia="方正仿宋简体" w:cs="方正仿宋简体"/>
          <w:b/>
          <w:bCs/>
          <w:color w:val="000000" w:themeColor="text1"/>
          <w:kern w:val="2"/>
          <w:sz w:val="30"/>
          <w:szCs w:val="30"/>
          <w:lang w:val="en-US" w:eastAsia="zh-CN" w:bidi="ar-SA"/>
          <w14:textFill>
            <w14:solidFill>
              <w14:schemeClr w14:val="tx1"/>
            </w14:solidFill>
          </w14:textFill>
        </w:rPr>
      </w:pPr>
      <w:bookmarkStart w:id="243" w:name="_Toc30599803"/>
      <w:bookmarkStart w:id="244" w:name="_Toc30514589"/>
      <w:bookmarkStart w:id="245" w:name="_Toc26241"/>
      <w:r>
        <w:rPr>
          <w:rFonts w:hint="eastAsia" w:ascii="方正仿宋简体" w:hAnsi="方正仿宋简体" w:eastAsia="方正仿宋简体" w:cs="方正仿宋简体"/>
          <w:b/>
          <w:bCs/>
          <w:color w:val="000000" w:themeColor="text1"/>
          <w:kern w:val="2"/>
          <w:sz w:val="30"/>
          <w:szCs w:val="30"/>
          <w:lang w:val="en-US" w:eastAsia="zh-CN" w:bidi="ar-SA"/>
          <w14:textFill>
            <w14:solidFill>
              <w14:schemeClr w14:val="tx1"/>
            </w14:solidFill>
          </w14:textFill>
        </w:rPr>
        <w:t>第四章  投标文件格式</w:t>
      </w:r>
      <w:bookmarkEnd w:id="242"/>
      <w:bookmarkEnd w:id="243"/>
      <w:bookmarkEnd w:id="244"/>
      <w:bookmarkEnd w:id="245"/>
    </w:p>
    <w:p>
      <w:pPr>
        <w:spacing w:line="360" w:lineRule="auto"/>
        <w:jc w:val="center"/>
        <w:rPr>
          <w:rFonts w:ascii="华文中宋" w:hAnsi="华文中宋" w:eastAsia="华文中宋" w:cs="Times New Roman"/>
          <w:b/>
          <w:sz w:val="32"/>
          <w:szCs w:val="32"/>
        </w:rPr>
      </w:pPr>
      <w:bookmarkStart w:id="246" w:name="_Toc241053598"/>
    </w:p>
    <w:p>
      <w:pPr>
        <w:spacing w:line="360" w:lineRule="auto"/>
        <w:jc w:val="center"/>
        <w:rPr>
          <w:rFonts w:hint="eastAsia" w:ascii="方正仿宋简体" w:hAnsi="方正仿宋简体" w:eastAsia="方正仿宋简体" w:cs="方正仿宋简体"/>
          <w:b/>
          <w:bCs/>
          <w:color w:val="000000" w:themeColor="text1"/>
          <w:kern w:val="2"/>
          <w:sz w:val="36"/>
          <w:szCs w:val="36"/>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36"/>
          <w:szCs w:val="36"/>
          <w:lang w:val="en-US" w:eastAsia="zh-CN" w:bidi="ar-SA"/>
          <w14:textFill>
            <w14:solidFill>
              <w14:schemeClr w14:val="tx1"/>
            </w14:solidFill>
          </w14:textFill>
        </w:rPr>
        <w:t>牟定县农业农村局2021年春秋季动物防疫疫苗采购项目（  包）</w:t>
      </w:r>
    </w:p>
    <w:p>
      <w:pPr>
        <w:pStyle w:val="2"/>
      </w:pPr>
    </w:p>
    <w:p>
      <w:pPr>
        <w:spacing w:line="360" w:lineRule="auto"/>
        <w:jc w:val="center"/>
        <w:rPr>
          <w:rFonts w:ascii="华文中宋" w:hAnsi="华文中宋" w:eastAsia="华文中宋" w:cs="Times New Roman"/>
          <w:szCs w:val="24"/>
        </w:rPr>
      </w:pPr>
      <w:r>
        <w:rPr>
          <w:rFonts w:hint="eastAsia" w:ascii="方正仿宋简体" w:hAnsi="方正仿宋简体" w:eastAsia="方正仿宋简体" w:cs="方正仿宋简体"/>
          <w:b/>
          <w:bCs/>
          <w:color w:val="000000" w:themeColor="text1"/>
          <w:kern w:val="2"/>
          <w:sz w:val="72"/>
          <w:szCs w:val="72"/>
          <w:lang w:val="en-US" w:eastAsia="zh-CN" w:bidi="ar-SA"/>
          <w14:textFill>
            <w14:solidFill>
              <w14:schemeClr w14:val="tx1"/>
            </w14:solidFill>
          </w14:textFill>
        </w:rPr>
        <w:t>投 标 文 件</w:t>
      </w:r>
    </w:p>
    <w:p>
      <w:pPr>
        <w:spacing w:line="360" w:lineRule="auto"/>
        <w:ind w:firstLine="3602" w:firstLineChars="1500"/>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项目编号：</w:t>
      </w:r>
    </w:p>
    <w:p>
      <w:pPr>
        <w:pStyle w:val="2"/>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p>
    <w:p>
      <w:pPr>
        <w:rPr>
          <w:rFonts w:hint="eastAsia"/>
          <w:lang w:val="en-US" w:eastAsia="zh-CN"/>
        </w:rPr>
      </w:pPr>
    </w:p>
    <w:p>
      <w:pPr>
        <w:spacing w:line="360" w:lineRule="auto"/>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投标人：（盖单位公章）</w:t>
      </w:r>
    </w:p>
    <w:p>
      <w:pPr>
        <w:spacing w:line="360" w:lineRule="auto"/>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法定代表人或其委托代理人：（亲笔签名或签章）</w:t>
      </w:r>
    </w:p>
    <w:p>
      <w:pPr>
        <w:spacing w:line="360" w:lineRule="auto"/>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地址：</w:t>
      </w:r>
    </w:p>
    <w:p>
      <w:pPr>
        <w:spacing w:line="360" w:lineRule="auto"/>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联系人：</w:t>
      </w:r>
    </w:p>
    <w:p>
      <w:pPr>
        <w:spacing w:line="360" w:lineRule="auto"/>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 xml:space="preserve">联系电话：                        </w:t>
      </w:r>
    </w:p>
    <w:p>
      <w:pPr>
        <w:spacing w:line="360" w:lineRule="auto"/>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年   月    日</w:t>
      </w:r>
    </w:p>
    <w:p>
      <w:pPr>
        <w:spacing w:line="360" w:lineRule="auto"/>
        <w:jc w:val="left"/>
        <w:rPr>
          <w:rFonts w:ascii="华文中宋" w:hAnsi="华文中宋" w:eastAsia="华文中宋" w:cstheme="majorBidi"/>
          <w:b/>
          <w:bCs/>
          <w:sz w:val="30"/>
          <w:szCs w:val="32"/>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注：此页面格式为中标人在领取中标通知书提供纸质版投标文件外封面格式，纸质版投标文件按照编制系统按顺序逐一打印并胶封后送采购代理机构，一式两份。</w:t>
      </w:r>
      <w:r>
        <w:rPr>
          <w:rFonts w:ascii="华文中宋" w:hAnsi="华文中宋" w:eastAsia="华文中宋"/>
        </w:rPr>
        <w:br w:type="page"/>
      </w:r>
    </w:p>
    <w:p>
      <w:pPr>
        <w:pStyle w:val="4"/>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bookmarkStart w:id="247" w:name="_Toc30514590"/>
      <w:bookmarkStart w:id="248" w:name="_Toc30599804"/>
      <w:bookmarkStart w:id="249" w:name="_Toc7103"/>
      <w:bookmarkStart w:id="250" w:name="_Toc13739"/>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开标一览表</w:t>
      </w:r>
      <w:bookmarkEnd w:id="247"/>
      <w:bookmarkEnd w:id="248"/>
      <w:bookmarkEnd w:id="249"/>
      <w:bookmarkEnd w:id="250"/>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项目名称： </w:t>
      </w:r>
      <w:r>
        <w:rPr>
          <w:rFonts w:hint="eastAsia" w:ascii="方正仿宋简体" w:hAnsi="方正仿宋简体" w:eastAsia="方正仿宋简体" w:cs="方正仿宋简体"/>
          <w:b w:val="0"/>
          <w:bCs w:val="0"/>
          <w:color w:val="000000"/>
          <w:sz w:val="24"/>
          <w:szCs w:val="24"/>
          <w:lang w:val="en-US" w:eastAsia="zh-CN"/>
        </w:rPr>
        <w:t>牟定县农业农村局2021年春秋季动物防疫疫苗采购项目</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包）</w:t>
      </w:r>
    </w:p>
    <w:p>
      <w:pPr>
        <w:spacing w:line="360" w:lineRule="auto"/>
        <w:jc w:val="left"/>
        <w:rPr>
          <w:rFonts w:hint="default"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项目编号：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460"/>
        <w:gridCol w:w="2430"/>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08" w:type="dxa"/>
            <w:vMerge w:val="restart"/>
            <w:vAlign w:val="center"/>
          </w:tcPr>
          <w:p>
            <w:pPr>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序号</w:t>
            </w:r>
          </w:p>
        </w:tc>
        <w:tc>
          <w:tcPr>
            <w:tcW w:w="2460" w:type="dxa"/>
            <w:vMerge w:val="restart"/>
            <w:vAlign w:val="center"/>
          </w:tcPr>
          <w:p>
            <w:pPr>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项    目</w:t>
            </w:r>
          </w:p>
        </w:tc>
        <w:tc>
          <w:tcPr>
            <w:tcW w:w="6316" w:type="dxa"/>
            <w:gridSpan w:val="2"/>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008" w:type="dxa"/>
            <w:vMerge w:val="continue"/>
            <w:vAlign w:val="center"/>
          </w:tcPr>
          <w:p>
            <w:pPr>
              <w:spacing w:line="36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2460" w:type="dxa"/>
            <w:vMerge w:val="continue"/>
            <w:vAlign w:val="center"/>
          </w:tcPr>
          <w:p>
            <w:pPr>
              <w:spacing w:line="36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2430"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小写（元）</w:t>
            </w:r>
          </w:p>
        </w:tc>
        <w:tc>
          <w:tcPr>
            <w:tcW w:w="3886"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大写（元）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08"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1</w:t>
            </w:r>
          </w:p>
        </w:tc>
        <w:tc>
          <w:tcPr>
            <w:tcW w:w="2460"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投标总报价</w:t>
            </w:r>
          </w:p>
        </w:tc>
        <w:tc>
          <w:tcPr>
            <w:tcW w:w="2430" w:type="dxa"/>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3886" w:type="dxa"/>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08"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2</w:t>
            </w:r>
          </w:p>
        </w:tc>
        <w:tc>
          <w:tcPr>
            <w:tcW w:w="2460"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质量承诺</w:t>
            </w:r>
          </w:p>
        </w:tc>
        <w:tc>
          <w:tcPr>
            <w:tcW w:w="6316" w:type="dxa"/>
            <w:gridSpan w:val="2"/>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08"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3</w:t>
            </w:r>
          </w:p>
        </w:tc>
        <w:tc>
          <w:tcPr>
            <w:tcW w:w="2460"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交货期</w:t>
            </w:r>
          </w:p>
        </w:tc>
        <w:tc>
          <w:tcPr>
            <w:tcW w:w="6316" w:type="dxa"/>
            <w:gridSpan w:val="2"/>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08"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4</w:t>
            </w:r>
          </w:p>
        </w:tc>
        <w:tc>
          <w:tcPr>
            <w:tcW w:w="2460"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项目负责人</w:t>
            </w:r>
          </w:p>
        </w:tc>
        <w:tc>
          <w:tcPr>
            <w:tcW w:w="6316" w:type="dxa"/>
            <w:gridSpan w:val="2"/>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08"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5</w:t>
            </w:r>
          </w:p>
        </w:tc>
        <w:tc>
          <w:tcPr>
            <w:tcW w:w="2460"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备 注</w:t>
            </w:r>
          </w:p>
        </w:tc>
        <w:tc>
          <w:tcPr>
            <w:tcW w:w="6316" w:type="dxa"/>
            <w:gridSpan w:val="2"/>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784" w:type="dxa"/>
            <w:gridSpan w:val="4"/>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响应人（电子签章）：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0" w:type="auto"/>
            <w:gridSpan w:val="4"/>
            <w:vAlign w:val="bottom"/>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法定代表人或委托代理人（电子签章）：</w:t>
            </w:r>
          </w:p>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             </w:t>
            </w:r>
          </w:p>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0" w:type="auto"/>
            <w:gridSpan w:val="4"/>
            <w:vAlign w:val="top"/>
          </w:tcPr>
          <w:p>
            <w:pPr>
              <w:spacing w:line="36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备注：</w:t>
            </w:r>
          </w:p>
          <w:p>
            <w:pPr>
              <w:spacing w:line="36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1.响应报价以元为单位，小数点后保留2为小数，第三位四舍五入。</w:t>
            </w:r>
          </w:p>
          <w:p>
            <w:pPr>
              <w:spacing w:line="36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2.响应报价或费率不因市场变化或政策变化而调整。</w:t>
            </w:r>
          </w:p>
          <w:p>
            <w:pPr>
              <w:spacing w:line="36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3.投标人或制造商属于监狱企业，中、小、微型企业，残疾人福利性单位或投标产品属于节能环保产品，应在备注栏填写。</w:t>
            </w:r>
          </w:p>
        </w:tc>
      </w:tr>
    </w:tbl>
    <w:p>
      <w:pPr>
        <w:jc w:val="both"/>
        <w:rPr>
          <w:rFonts w:ascii="华文中宋" w:hAnsi="华文中宋" w:eastAsia="华文中宋" w:cs="宋体"/>
          <w:b/>
          <w:bCs/>
          <w:sz w:val="21"/>
          <w:szCs w:val="24"/>
        </w:rPr>
      </w:pPr>
    </w:p>
    <w:p>
      <w:pPr>
        <w:pStyle w:val="4"/>
      </w:pPr>
      <w:bookmarkStart w:id="251" w:name="_Toc485159201"/>
      <w:r>
        <w:br w:type="page"/>
      </w:r>
      <w:bookmarkStart w:id="252" w:name="_Toc485159205"/>
      <w:bookmarkStart w:id="253" w:name="_Toc31947"/>
      <w:bookmarkStart w:id="254" w:name="_Toc30599805"/>
      <w:bookmarkStart w:id="255" w:name="_Toc30514591"/>
      <w:bookmarkStart w:id="256" w:name="_Toc10710"/>
      <w:r>
        <w:rPr>
          <w:rFonts w:hint="eastAsia"/>
        </w:rPr>
        <w:t>一、</w:t>
      </w:r>
      <w:bookmarkEnd w:id="252"/>
      <w:r>
        <w:rPr>
          <w:rFonts w:hint="eastAsia"/>
        </w:rPr>
        <w:t>资格证明文件</w:t>
      </w:r>
      <w:bookmarkEnd w:id="253"/>
      <w:bookmarkEnd w:id="254"/>
      <w:bookmarkEnd w:id="255"/>
      <w:bookmarkEnd w:id="256"/>
    </w:p>
    <w:p>
      <w:pPr>
        <w:widowControl/>
        <w:spacing w:line="240" w:lineRule="auto"/>
        <w:ind w:left="0" w:leftChars="0" w:firstLine="0" w:firstLineChars="0"/>
        <w:rPr>
          <w:rFonts w:ascii="华文中宋" w:hAnsi="华文中宋" w:eastAsia="华文中宋" w:cs="Times New Roman"/>
          <w:b/>
          <w:sz w:val="28"/>
          <w:szCs w:val="24"/>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1.参加政府采购活动的供应商应当具备政府采购法第二十二条规定的条件，提供下列材料：</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（一）具有独立承担民事责任的能力</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1.1提供法人或者其他组织的营业执照等证明文件；</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1.2提供法定代表人身份证明书（其他组织提供自然人身份复印件）及法定代表人授权委托书（发生授权情况）（详细格式，见附件1.1和1.2）；</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（二）具有良好的商业信誉和健全的财务会计制度</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2.1财务状况报告【提供近三年其中任意一年经会计师事务所或审计机构出具的财务报表及审计报告或提供银行出具的资信证明；投标人为新注册的（投标文件递交时间止成立未满一年的）提供近期其中任意一个月的财务状况报表。】</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（三）具备履行合同所必需的设备和专业技术能力的证明材料；</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3.1履行合同所必须的主要设备、工具  </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格式自拟</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3.2履行合同所必须的专业技术技术人员  </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格式自拟</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（四）有依法缴纳税收和社会保障资金的良好记录</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提供至少提供近期三个月内其中任意一个月缴纳税收和社保的凭证；如依法免税或不需要缴纳社会保障资金的，应提供相应文件证明。</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（五）投标保证金</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投标人必须按招标文件要求缴纳投标保证金，并提供投标保证金汇款、转账凭证。</w:t>
      </w:r>
    </w:p>
    <w:p>
      <w:pPr>
        <w:spacing w:line="240" w:lineRule="auto"/>
        <w:ind w:firstLine="480" w:firstLineChars="200"/>
        <w:jc w:val="left"/>
        <w:rPr>
          <w:rFonts w:hint="eastAsia" w:ascii="华文中宋" w:hAnsi="华文中宋" w:eastAsia="华文中宋" w:cs="Times New Roman"/>
          <w:b/>
          <w:sz w:val="28"/>
          <w:szCs w:val="28"/>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（六）参加政府采购活动前三年内，在经营活动中没有重大违法记录</w:t>
      </w:r>
    </w:p>
    <w:p>
      <w:pPr>
        <w:spacing w:line="360" w:lineRule="auto"/>
        <w:jc w:val="center"/>
        <w:rPr>
          <w:rFonts w:hint="eastAsia" w:ascii="华文中宋" w:hAnsi="华文中宋" w:eastAsia="华文中宋" w:cs="Times New Roman"/>
          <w:b/>
          <w:sz w:val="28"/>
          <w:szCs w:val="28"/>
        </w:rPr>
      </w:pPr>
    </w:p>
    <w:p>
      <w:pPr>
        <w:pStyle w:val="2"/>
        <w:rPr>
          <w:rFonts w:hint="eastAsia" w:ascii="华文中宋" w:hAnsi="华文中宋" w:eastAsia="华文中宋" w:cs="Times New Roman"/>
          <w:b/>
          <w:sz w:val="28"/>
          <w:szCs w:val="28"/>
        </w:rPr>
      </w:pPr>
    </w:p>
    <w:p>
      <w:pPr>
        <w:rPr>
          <w:rFonts w:hint="eastAsia" w:ascii="华文中宋" w:hAnsi="华文中宋" w:eastAsia="华文中宋" w:cs="Times New Roman"/>
          <w:b/>
          <w:sz w:val="28"/>
          <w:szCs w:val="28"/>
        </w:rPr>
      </w:pPr>
    </w:p>
    <w:p>
      <w:pPr>
        <w:pStyle w:val="2"/>
        <w:rPr>
          <w:rFonts w:hint="eastAsia"/>
        </w:rPr>
      </w:pPr>
    </w:p>
    <w:p>
      <w:pPr>
        <w:spacing w:line="360" w:lineRule="auto"/>
        <w:jc w:val="center"/>
        <w:rPr>
          <w:rFonts w:hint="eastAsia" w:ascii="华文中宋" w:hAnsi="华文中宋" w:eastAsia="华文中宋" w:cs="Times New Roman"/>
          <w:b/>
          <w:sz w:val="28"/>
          <w:szCs w:val="28"/>
        </w:rPr>
      </w:pPr>
    </w:p>
    <w:p>
      <w:pPr>
        <w:spacing w:line="360" w:lineRule="auto"/>
        <w:ind w:firstLine="640" w:firstLineChars="200"/>
        <w:jc w:val="cente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声明函（格式，可修改）</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（采购人名称）：</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我方在此声明，我方参加</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（项目名称）         （以下简称“本项目”）（  包）</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的政府采购活动前三年内，在经营活动中没有重大违法记录。</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我方保证上述信息的真实和准确，并愿意承担因我方就此弄虚作假所引起的一切法律后果。</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特此声明。</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法定代表人或其委托代理人：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 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spacing w:line="240" w:lineRule="auto"/>
        <w:ind w:right="120" w:firstLine="465"/>
        <w:rPr>
          <w:rFonts w:ascii="华文中宋" w:hAnsi="华文中宋" w:eastAsia="华文中宋"/>
          <w:szCs w:val="21"/>
        </w:rPr>
      </w:pPr>
    </w:p>
    <w:p>
      <w:pPr>
        <w:widowControl/>
        <w:rPr>
          <w:rFonts w:ascii="华文中宋" w:hAnsi="华文中宋" w:eastAsia="华文中宋" w:cstheme="majorBidi"/>
          <w:b/>
          <w:bCs/>
          <w:sz w:val="30"/>
          <w:szCs w:val="32"/>
        </w:rPr>
      </w:pPr>
    </w:p>
    <w:p>
      <w:pPr>
        <w:widowControl/>
        <w:rPr>
          <w:rFonts w:ascii="华文中宋" w:hAnsi="华文中宋" w:eastAsia="华文中宋" w:cstheme="majorBidi"/>
          <w:b/>
          <w:bCs/>
          <w:sz w:val="30"/>
          <w:szCs w:val="32"/>
        </w:rPr>
      </w:pPr>
      <w:r>
        <w:rPr>
          <w:rFonts w:ascii="华文中宋" w:hAnsi="华文中宋" w:eastAsia="华文中宋"/>
        </w:rPr>
        <w:br w:type="page"/>
      </w:r>
    </w:p>
    <w:p>
      <w:pPr>
        <w:pStyle w:val="4"/>
        <w:numPr>
          <w:ilvl w:val="0"/>
          <w:numId w:val="0"/>
        </w:numPr>
        <w:spacing w:line="240" w:lineRule="auto"/>
        <w:jc w:val="both"/>
        <w:rPr>
          <w:rFonts w:hint="default"/>
          <w:lang w:val="en-US" w:eastAsia="zh-CN"/>
        </w:rPr>
      </w:pPr>
      <w:bookmarkStart w:id="257" w:name="_Toc19080"/>
      <w:bookmarkStart w:id="258" w:name="_Toc30514592"/>
      <w:bookmarkStart w:id="259" w:name="_Toc15174"/>
      <w:bookmarkStart w:id="260" w:name="_Toc30599806"/>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2.特定资格要求，提供下列材料</w:t>
      </w:r>
      <w:r>
        <w:rPr>
          <w:rFonts w:hint="eastAsia" w:ascii="方正仿宋简体" w:hAnsi="方正仿宋简体" w:eastAsia="方正仿宋简体" w:cs="方正仿宋简体"/>
          <w:b w:val="0"/>
          <w:bCs w:val="0"/>
          <w:color w:val="000000"/>
          <w:sz w:val="21"/>
          <w:szCs w:val="21"/>
          <w:lang w:val="en-US" w:eastAsia="zh-CN"/>
        </w:rPr>
        <w:t>：</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（一）投标产品的生产厂家必须是农业部的定点生产企业；并通过农业部GMP认证、或有销售资质的经销商（必须获得省农业厅生物制品GSP认证的企业），具有兽药生产许可证或兽药经营许可证；</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（二）供应商所投标产品须有正式有效的批准文号和2019年12月1日至本项目投标截止日期前出具的（供应商出具连续3个批次）检验报告（指由中国兽医药品监察所审核意见的《兽用生物制品生产与检验报告》）；</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（三）所投产品必须具有农业部颁发的国家兽药生产许可证或兽药经营许可证；</w:t>
      </w:r>
    </w:p>
    <w:p>
      <w:pPr>
        <w:spacing w:line="240" w:lineRule="auto"/>
        <w:ind w:firstLine="480" w:firstLineChars="200"/>
        <w:jc w:val="left"/>
        <w:rPr>
          <w:rFonts w:hint="default"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（四）所投产品必须具有农业部兽药产品批准文号；</w:t>
      </w:r>
    </w:p>
    <w:p>
      <w:pP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p>
    <w:p>
      <w:pP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p>
    <w:p>
      <w:pP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p>
    <w:p>
      <w:pP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p>
    <w:p>
      <w:pPr>
        <w:rPr>
          <w:rFonts w:hint="eastAsia"/>
          <w:lang w:val="en-US" w:eastAsia="zh-CN"/>
        </w:rPr>
      </w:pPr>
    </w:p>
    <w:p>
      <w:pPr>
        <w:rPr>
          <w:rFonts w:hint="eastAsia"/>
          <w:lang w:val="en-US" w:eastAsia="zh-CN"/>
        </w:rPr>
      </w:pPr>
    </w:p>
    <w:p>
      <w:pPr>
        <w:pStyle w:val="4"/>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二、投标函</w:t>
      </w:r>
      <w:bookmarkEnd w:id="246"/>
      <w:bookmarkEnd w:id="251"/>
      <w:bookmarkEnd w:id="257"/>
      <w:bookmarkEnd w:id="258"/>
      <w:bookmarkEnd w:id="259"/>
      <w:bookmarkEnd w:id="260"/>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bookmarkStart w:id="261" w:name="_Toc241053599"/>
      <w:bookmarkStart w:id="262" w:name="_Toc485159202"/>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致：</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(采购人名称)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 </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根据贵方项目</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（项目编号：       （  包）</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的投标邀请，签字代表</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（全名、职务）</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经正式授权并代表投标人全称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（投标人全称名称、地址）</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提交下述文件。</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1、我单位认真研究了招标文件，遵照《中华人民共和国政府采购法》、《中华人民共和国政府采购法实施条列》、《政府采购货物和服务招标投标管理办法》（财政部令第87号）、等有关法律法规的规定，愿意遵守本招标文件的所有条款，并招标文件的投标须知、承包方式、合同条款、技术参数、规格型号、采购清单和有关文件，愿以人民币（大写：</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整）（小写：</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元</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）的投标报价和清单单价（详投标分项报价表）承包上述项目涉及到的总体方案</w:t>
      </w: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设计、开发、实施、服务及保障</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等涉及到的相关设备、设施、材料的采购、安装、开发、调试、试运行、验收、交货期限及售后技术服务等（包括招标文件中提到的或没有提到的各种必备配套辅助材料及配件），并承担任何质量缺陷保修责任；</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2、质量按国家现行的评定标准，保证一次验收合格；</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3、投标在交货期内，每逾期一天按罚款，累计计算；</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我方承诺已具备参加采购招标投标活动的投标人全称应当具备的条件：</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（1）具有独立承担民事责任的能力；</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（2）具有良好的商业信誉和健全的财务制度；</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（3）具有履行合同所必需的设备和专业技术能力；</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（4）有依法缴纳税收和社会保障资金的良好记录；</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（5）参加政府采购活动前三年内，在经营活动中没有重大违法记录；</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（6）我方同意所提交的投标文件在招标文件中所规定的投标有效期内有效，如我方中标，我方将受招标文件中各种条款的约束；</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4、除非另达成协议并生效，你方的招标文件、中标通知书和本投标文件将成为双方签订条款的依据。</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5、我方已详细审查全部招标文件，包括</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（澄清文件）(如果有的话)</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。我们完全理解并同意放弃对这方面有不明及误解的权力。</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6、同意应贵方要求提供与本投标有关的任何数据或资料，并保证数据和资料的完整性和真实性。</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7、完全理解贵方不一定要接受最低报价的投标人为中标人的行为。</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8、我方保证遵守：在整个招标过程中对本项目所有设备作出的任何承诺，否则，采购人可当我方违约处理，并追究我方的违约责任。</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如果中标，我单位将忠实地履行本投标书的承诺，在规定时间内与贵单位签订购销合同，承担承包方应承担的全部责任和义务。</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与本投标有关的正式通讯地址为：</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 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地址：</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法定代表人或其委托代理人：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电话：</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邮政编码：</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开户银行名称：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ab/>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开户银行账号： </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ab/>
      </w:r>
    </w:p>
    <w:p>
      <w:pPr>
        <w:spacing w:line="240" w:lineRule="auto"/>
        <w:ind w:firstLine="480" w:firstLineChars="200"/>
        <w:jc w:val="left"/>
        <w:rPr>
          <w:rFonts w:ascii="华文中宋" w:hAnsi="华文中宋" w:eastAsia="华文中宋"/>
          <w:b/>
          <w:bCs/>
          <w:color w:val="000000"/>
          <w:sz w:val="30"/>
          <w:szCs w:val="21"/>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年</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月</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w:t>
      </w:r>
      <w:bookmarkEnd w:id="261"/>
      <w:bookmarkEnd w:id="262"/>
      <w:r>
        <w:rPr>
          <w:rFonts w:ascii="华文中宋" w:hAnsi="华文中宋" w:eastAsia="华文中宋"/>
          <w:szCs w:val="21"/>
        </w:rPr>
        <w:br w:type="page"/>
      </w:r>
    </w:p>
    <w:p>
      <w:pPr>
        <w:pStyle w:val="4"/>
        <w:rPr>
          <w:rFonts w:ascii="华文中宋" w:hAnsi="华文中宋" w:eastAsia="华文中宋" w:cs="Times New Roman"/>
          <w:sz w:val="28"/>
          <w:szCs w:val="28"/>
        </w:rPr>
      </w:pPr>
      <w:bookmarkStart w:id="263" w:name="_Toc29992"/>
      <w:bookmarkStart w:id="264" w:name="_Toc31245"/>
      <w:bookmarkStart w:id="265" w:name="_Toc30599807"/>
      <w:bookmarkStart w:id="266" w:name="_Toc30514593"/>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三、商务条款偏离表</w:t>
      </w:r>
      <w:bookmarkEnd w:id="263"/>
      <w:bookmarkEnd w:id="264"/>
      <w:bookmarkEnd w:id="265"/>
      <w:bookmarkEnd w:id="266"/>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投标人应逐条对应招标文件第五章“合同书样式及主要条款”中要求的商务条件，包括付款方式、履约保证金等内容，并根据实际投标情况如实填写本表格。</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★未填写本表格的投标将不能通过初步评审。</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项目名称：</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招标编号：</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A、□我公司已详细阅读招标文件中项商务要求，所有商务要求均无偏离，中标后我公司将严格遵照执行。</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B、□我公司已详细阅读招标文件中项商务要求，除下述条款有偏离外，其余条款我公司均予以认可，中标后将严格遵照执行。</w:t>
      </w:r>
    </w:p>
    <w:tbl>
      <w:tblPr>
        <w:tblStyle w:val="16"/>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509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序号</w:t>
            </w:r>
          </w:p>
        </w:tc>
        <w:tc>
          <w:tcPr>
            <w:tcW w:w="5099" w:type="dxa"/>
            <w:vAlign w:val="center"/>
          </w:tcPr>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招标文件的商务条款要求</w:t>
            </w:r>
          </w:p>
        </w:tc>
        <w:tc>
          <w:tcPr>
            <w:tcW w:w="3969" w:type="dxa"/>
            <w:vAlign w:val="center"/>
          </w:tcPr>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投标文件的商务条款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5099"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3969"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5099"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3969"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5099"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3969"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bl>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法定代表人或其委托代理人：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年</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月</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w:t>
      </w:r>
    </w:p>
    <w:p>
      <w:pPr>
        <w:spacing w:line="360" w:lineRule="auto"/>
        <w:ind w:firstLine="480" w:firstLineChars="200"/>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表格填写说明：</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1、投标人根据应根据实际投标情况，填写本表格，若无偏离，则勾选A项，签字盖章即可。若有偏离，则勾选B项，按表格要求及实际情况填写后，签字盖章。</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2、表格中“招标文件的商务条款要求”在填写时应注明该条款在招标文件的页码及条款号。</w:t>
      </w:r>
    </w:p>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3、表格中“投标文件的商务条款”请投标人根据实际投标情况如实、完整、准确的填写。</w:t>
      </w:r>
    </w:p>
    <w:p>
      <w:pPr>
        <w:spacing w:line="360" w:lineRule="auto"/>
        <w:ind w:firstLine="480" w:firstLineChars="200"/>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4、本表格中内容与投标文件其余部分不一致的，以本表格为准。</w:t>
      </w:r>
    </w:p>
    <w:p>
      <w:pPr>
        <w:widowControl/>
        <w:rPr>
          <w:rFonts w:ascii="华文中宋" w:hAnsi="华文中宋" w:eastAsia="华文中宋" w:cstheme="majorBidi"/>
          <w:b/>
          <w:bCs/>
          <w:sz w:val="30"/>
          <w:szCs w:val="32"/>
        </w:rPr>
      </w:pPr>
      <w:r>
        <w:rPr>
          <w:rFonts w:ascii="华文中宋" w:hAnsi="华文中宋" w:eastAsia="华文中宋"/>
        </w:rPr>
        <w:br w:type="page"/>
      </w:r>
    </w:p>
    <w:p>
      <w:pPr>
        <w:pStyle w:val="4"/>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bookmarkStart w:id="267" w:name="_Toc30514594"/>
      <w:bookmarkStart w:id="268" w:name="_Toc30599808"/>
      <w:bookmarkStart w:id="269" w:name="_Toc12777"/>
      <w:bookmarkStart w:id="270" w:name="_Toc561"/>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四、技术文件</w:t>
      </w:r>
      <w:bookmarkEnd w:id="267"/>
      <w:bookmarkEnd w:id="268"/>
      <w:bookmarkEnd w:id="269"/>
      <w:bookmarkEnd w:id="270"/>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投标人根据招标文件要求编制技术文件，包括（但不限于）以下内容：</w:t>
      </w:r>
    </w:p>
    <w:p>
      <w:pPr>
        <w:widowControl/>
        <w:spacing w:line="360" w:lineRule="auto"/>
        <w:ind w:firstLine="240" w:firstLineChars="100"/>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以下项直接影响投标人评分情况，请投标人关注。</w:t>
      </w:r>
    </w:p>
    <w:p>
      <w:pPr>
        <w:pStyle w:val="2"/>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rPr>
          <w:rFonts w:hint="eastAsia"/>
          <w:lang w:val="en-US" w:eastAsia="zh-CN"/>
        </w:rPr>
      </w:pPr>
    </w:p>
    <w:p>
      <w:pPr>
        <w:rPr>
          <w:rFonts w:hint="eastAsia"/>
          <w:lang w:val="en-US" w:eastAsia="zh-CN"/>
        </w:rPr>
      </w:pPr>
    </w:p>
    <w:p>
      <w:pPr>
        <w:pStyle w:val="2"/>
        <w:jc w:val="center"/>
        <w:rPr>
          <w:rFonts w:ascii="华文中宋" w:hAnsi="华文中宋" w:eastAsia="华文中宋"/>
        </w:rPr>
      </w:pPr>
      <w:bookmarkStart w:id="271" w:name="_Toc30514595"/>
      <w:bookmarkStart w:id="272" w:name="_Toc30599809"/>
      <w:bookmarkStart w:id="273" w:name="_Toc1389"/>
      <w:bookmarkStart w:id="274" w:name="_Toc6921"/>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4.1投标分项报价表</w:t>
      </w:r>
      <w:bookmarkEnd w:id="271"/>
      <w:bookmarkEnd w:id="272"/>
      <w:bookmarkEnd w:id="273"/>
      <w:bookmarkEnd w:id="274"/>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项目名称：牟定县农业农村局2021年春秋季动物防疫疫苗采购项目（  包）</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default"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项目编号：              </w:t>
      </w:r>
    </w:p>
    <w:tbl>
      <w:tblPr>
        <w:tblStyle w:val="16"/>
        <w:tblW w:w="10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338"/>
        <w:gridCol w:w="1355"/>
        <w:gridCol w:w="974"/>
        <w:gridCol w:w="850"/>
        <w:gridCol w:w="1967"/>
        <w:gridCol w:w="1296"/>
        <w:gridCol w:w="1091"/>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序号</w:t>
            </w:r>
          </w:p>
        </w:tc>
        <w:tc>
          <w:tcPr>
            <w:tcW w:w="1338"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货物名称</w:t>
            </w:r>
          </w:p>
        </w:tc>
        <w:tc>
          <w:tcPr>
            <w:tcW w:w="1355"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型号规格</w:t>
            </w:r>
          </w:p>
        </w:tc>
        <w:tc>
          <w:tcPr>
            <w:tcW w:w="974"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数量</w:t>
            </w:r>
          </w:p>
        </w:tc>
        <w:tc>
          <w:tcPr>
            <w:tcW w:w="850"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单位</w:t>
            </w:r>
          </w:p>
        </w:tc>
        <w:tc>
          <w:tcPr>
            <w:tcW w:w="1967"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制造商/生产厂商名称</w:t>
            </w:r>
          </w:p>
        </w:tc>
        <w:tc>
          <w:tcPr>
            <w:tcW w:w="1296"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单价</w:t>
            </w:r>
          </w:p>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（元）</w:t>
            </w:r>
          </w:p>
        </w:tc>
        <w:tc>
          <w:tcPr>
            <w:tcW w:w="1091"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总价</w:t>
            </w:r>
          </w:p>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（元）</w:t>
            </w:r>
          </w:p>
        </w:tc>
        <w:tc>
          <w:tcPr>
            <w:tcW w:w="695"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458" w:type="dxa"/>
            <w:vAlign w:val="center"/>
          </w:tcPr>
          <w:p>
            <w:pPr>
              <w:widowControl/>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1</w:t>
            </w:r>
          </w:p>
        </w:tc>
        <w:tc>
          <w:tcPr>
            <w:tcW w:w="1338"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35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974"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850"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967"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296"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091"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69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2</w:t>
            </w:r>
          </w:p>
        </w:tc>
        <w:tc>
          <w:tcPr>
            <w:tcW w:w="1338"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35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974"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850"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967"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296"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091"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69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3</w:t>
            </w:r>
          </w:p>
        </w:tc>
        <w:tc>
          <w:tcPr>
            <w:tcW w:w="1338"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35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974"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850"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967"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296"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091"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69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4</w:t>
            </w:r>
          </w:p>
        </w:tc>
        <w:tc>
          <w:tcPr>
            <w:tcW w:w="1338"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35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974"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850"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967"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296"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091"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69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5</w:t>
            </w:r>
          </w:p>
        </w:tc>
        <w:tc>
          <w:tcPr>
            <w:tcW w:w="1338"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35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974"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850"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967"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296"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091"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69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spacing w:line="240" w:lineRule="auto"/>
              <w:jc w:val="center"/>
              <w:rPr>
                <w:rFonts w:hint="default"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w:t>
            </w:r>
          </w:p>
        </w:tc>
        <w:tc>
          <w:tcPr>
            <w:tcW w:w="1338"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35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974"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850"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967"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296"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091"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69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0024" w:type="dxa"/>
            <w:gridSpan w:val="9"/>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合   计（投标总价）￥           ：大写：</w:t>
            </w:r>
          </w:p>
        </w:tc>
      </w:tr>
    </w:tbl>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注：1、表格长度可根据需要自行调整，表中所列内容为必须填写项目，供应商可根据自身情况增加内容。</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2、如所报货物为节能、环保产品在备注中注明。</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法定代表人或其委托代理人：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bookmarkStart w:id="275" w:name="_Toc9948647"/>
      <w:bookmarkStart w:id="276" w:name="_Toc21423779"/>
      <w:bookmarkStart w:id="277" w:name="_Toc21423839"/>
      <w:bookmarkStart w:id="278" w:name="_Toc21437227"/>
      <w:bookmarkStart w:id="279" w:name="_Toc30514596"/>
      <w:bookmarkStart w:id="280" w:name="_Toc30599810"/>
      <w:bookmarkStart w:id="281" w:name="_Toc21126"/>
    </w:p>
    <w:p>
      <w:pPr>
        <w:pStyle w:val="2"/>
        <w:rPr>
          <w:rFonts w:hint="eastAsia"/>
          <w:lang w:val="en-US" w:eastAsia="zh-CN"/>
        </w:rPr>
      </w:pPr>
    </w:p>
    <w:p>
      <w:pPr>
        <w:keepNext/>
        <w:keepLines/>
        <w:spacing w:before="260" w:after="260" w:line="416" w:lineRule="auto"/>
        <w:ind w:firstLine="3200" w:firstLineChars="1000"/>
        <w:jc w:val="both"/>
        <w:outlineLvl w:val="2"/>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bookmarkStart w:id="282" w:name="_Toc7321"/>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4.2技术规格偏离表</w:t>
      </w:r>
      <w:bookmarkEnd w:id="275"/>
      <w:bookmarkEnd w:id="276"/>
      <w:bookmarkEnd w:id="277"/>
      <w:bookmarkEnd w:id="278"/>
      <w:bookmarkEnd w:id="279"/>
      <w:bookmarkEnd w:id="280"/>
      <w:bookmarkEnd w:id="281"/>
      <w:bookmarkEnd w:id="282"/>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项目名称：牟定县农业农村局2021年春秋季动物防疫疫苗采购项目（  包）</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ab/>
      </w:r>
    </w:p>
    <w:p>
      <w:pPr>
        <w:widowControl/>
        <w:spacing w:line="360" w:lineRule="auto"/>
        <w:rPr>
          <w:rFonts w:hint="default"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项目编号：</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7"/>
        <w:gridCol w:w="1134"/>
        <w:gridCol w:w="1391"/>
        <w:gridCol w:w="3118"/>
        <w:gridCol w:w="1560"/>
        <w:gridCol w:w="19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37"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产品名称</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品牌、型号、规格</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招标产品详细技术指标参数及具体配置情况</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投标产品详细技术指标参数及具体配置情况</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与招标要求的</w:t>
            </w:r>
          </w:p>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6" w:hRule="atLeast"/>
          <w:jc w:val="center"/>
        </w:trPr>
        <w:tc>
          <w:tcPr>
            <w:tcW w:w="537" w:type="dxa"/>
            <w:tcBorders>
              <w:top w:val="single" w:color="auto" w:sz="4" w:space="0"/>
              <w:bottom w:val="single" w:color="auto" w:sz="4" w:space="0"/>
              <w:right w:val="single" w:color="auto" w:sz="4" w:space="0"/>
            </w:tcBorders>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537" w:type="dxa"/>
            <w:tcBorders>
              <w:top w:val="single" w:color="auto" w:sz="4" w:space="0"/>
              <w:bottom w:val="single" w:color="auto" w:sz="4" w:space="0"/>
              <w:right w:val="single" w:color="auto" w:sz="4" w:space="0"/>
            </w:tcBorders>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537" w:type="dxa"/>
            <w:tcBorders>
              <w:top w:val="single" w:color="auto" w:sz="4" w:space="0"/>
              <w:bottom w:val="single" w:color="auto" w:sz="4" w:space="0"/>
              <w:right w:val="single" w:color="auto" w:sz="4" w:space="0"/>
            </w:tcBorders>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r>
    </w:tbl>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pStyle w:val="2"/>
        <w:rPr>
          <w:rFonts w:hint="eastAsia"/>
          <w:lang w:val="en-US" w:eastAsia="zh-CN"/>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法定代表人或委托代理人签字：</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rPr>
          <w:rFonts w:hint="default" w:ascii="华文中宋" w:hAnsi="华文中宋" w:eastAsia="华文中宋" w:cs="Times New Roman"/>
          <w:szCs w:val="24"/>
          <w:lang w:val="en-US"/>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widowControl/>
        <w:spacing w:line="500" w:lineRule="exact"/>
        <w:rPr>
          <w:rFonts w:ascii="华文中宋" w:hAnsi="华文中宋" w:eastAsia="华文中宋" w:cs="Times New Roman"/>
          <w:szCs w:val="24"/>
        </w:rPr>
      </w:pPr>
    </w:p>
    <w:p>
      <w:pPr>
        <w:widowControl/>
        <w:spacing w:line="360" w:lineRule="auto"/>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注：若投标人填写的技术指标参数与所附资料技术指标参数有出入时，投标人将自行承担由此引起的一切后果，附相关产品近期质量检测报告。。</w:t>
      </w:r>
      <w:bookmarkStart w:id="283" w:name="_Toc30599811"/>
      <w:bookmarkStart w:id="284" w:name="_Toc21423780"/>
      <w:bookmarkStart w:id="285" w:name="_Toc30514597"/>
      <w:bookmarkStart w:id="286" w:name="_Toc21437228"/>
      <w:bookmarkStart w:id="287" w:name="_Toc21423840"/>
      <w:bookmarkStart w:id="288" w:name="_Toc9948648"/>
      <w:bookmarkStart w:id="289" w:name="_Toc10625"/>
      <w:bookmarkStart w:id="290" w:name="_Toc20431"/>
    </w:p>
    <w:p>
      <w:pPr>
        <w:pStyle w:val="2"/>
        <w:rPr>
          <w:rFonts w:hint="eastAsia"/>
          <w:lang w:val="en-US" w:eastAsia="zh-CN"/>
        </w:rPr>
      </w:pPr>
    </w:p>
    <w:p>
      <w:pPr>
        <w:keepNext/>
        <w:keepLines/>
        <w:spacing w:before="260" w:after="260" w:line="416" w:lineRule="auto"/>
        <w:ind w:firstLine="3200" w:firstLineChars="1000"/>
        <w:jc w:val="both"/>
        <w:outlineLvl w:val="2"/>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4.3货物的响应</w:t>
      </w:r>
      <w:bookmarkEnd w:id="283"/>
      <w:bookmarkEnd w:id="284"/>
      <w:bookmarkEnd w:id="285"/>
      <w:bookmarkEnd w:id="286"/>
      <w:bookmarkEnd w:id="287"/>
      <w:bookmarkEnd w:id="288"/>
      <w:bookmarkEnd w:id="289"/>
      <w:bookmarkEnd w:id="290"/>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投标人根据第六章采购需求，结合第三章评审方法中2.4条及自身情况提供资料，格式自拟。</w:t>
      </w:r>
    </w:p>
    <w:p>
      <w:pPr>
        <w:pStyle w:val="2"/>
        <w:rPr>
          <w:rFonts w:hint="eastAsia"/>
          <w:lang w:val="en-US" w:eastAsia="zh-CN"/>
        </w:rPr>
      </w:pPr>
    </w:p>
    <w:p>
      <w:pPr>
        <w:keepNext/>
        <w:keepLines/>
        <w:spacing w:before="260" w:after="260" w:line="416" w:lineRule="auto"/>
        <w:ind w:firstLine="2560" w:firstLineChars="800"/>
        <w:jc w:val="both"/>
        <w:outlineLvl w:val="2"/>
        <w:rPr>
          <w:rFonts w:hint="default"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bookmarkStart w:id="291" w:name="_Toc9948649"/>
      <w:bookmarkStart w:id="292" w:name="_Toc21423781"/>
      <w:bookmarkStart w:id="293" w:name="_Toc21423841"/>
      <w:bookmarkStart w:id="294" w:name="_Toc21437229"/>
      <w:bookmarkStart w:id="295" w:name="_Toc30514598"/>
      <w:bookmarkStart w:id="296" w:name="_Toc30599812"/>
      <w:bookmarkStart w:id="297" w:name="_Toc27183"/>
      <w:bookmarkStart w:id="298" w:name="_Toc31214"/>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4.4</w:t>
      </w:r>
      <w:bookmarkEnd w:id="291"/>
      <w:bookmarkEnd w:id="292"/>
      <w:bookmarkEnd w:id="293"/>
      <w:bookmarkEnd w:id="294"/>
      <w:bookmarkEnd w:id="295"/>
      <w:bookmarkEnd w:id="296"/>
      <w:bookmarkEnd w:id="297"/>
      <w:bookmarkEnd w:id="298"/>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 xml:space="preserve">供货期限承诺及保障措施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投标人根据第六章采购需求，结合第三章评审方法中2.4条及自身情况提供资料，格式自拟。</w:t>
      </w:r>
    </w:p>
    <w:p>
      <w:pPr>
        <w:pStyle w:val="2"/>
        <w:ind w:firstLine="2880" w:firstLineChars="900"/>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 xml:space="preserve">4.5质量承诺及保障措施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投标人根据第六章采购需求，结合第三章评审方法中2.4条及自身情况提供资料，格式自拟。</w:t>
      </w:r>
    </w:p>
    <w:p>
      <w:pPr>
        <w:rPr>
          <w:rFonts w:hint="default"/>
          <w:lang w:val="en-US" w:eastAsia="zh-CN"/>
        </w:rPr>
      </w:pPr>
    </w:p>
    <w:p>
      <w:pPr>
        <w:keepNext/>
        <w:keepLines/>
        <w:spacing w:before="260" w:after="260" w:line="416" w:lineRule="auto"/>
        <w:ind w:firstLine="3520" w:firstLineChars="1100"/>
        <w:jc w:val="both"/>
        <w:outlineLvl w:val="2"/>
        <w:rPr>
          <w:rFonts w:hint="default"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bookmarkStart w:id="299" w:name="_Toc9948650"/>
      <w:bookmarkStart w:id="300" w:name="_Toc21423782"/>
      <w:bookmarkStart w:id="301" w:name="_Toc21423842"/>
      <w:bookmarkStart w:id="302" w:name="_Toc21437230"/>
      <w:bookmarkStart w:id="303" w:name="_Toc30514599"/>
      <w:bookmarkStart w:id="304" w:name="_Toc30599813"/>
      <w:bookmarkStart w:id="305" w:name="_Toc5620"/>
      <w:bookmarkStart w:id="306" w:name="_Toc11766"/>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4.</w:t>
      </w:r>
      <w:bookmarkEnd w:id="299"/>
      <w:bookmarkEnd w:id="300"/>
      <w:bookmarkEnd w:id="301"/>
      <w:bookmarkEnd w:id="302"/>
      <w:bookmarkEnd w:id="303"/>
      <w:bookmarkEnd w:id="304"/>
      <w:bookmarkEnd w:id="305"/>
      <w:bookmarkEnd w:id="306"/>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6 项目经验</w:t>
      </w:r>
    </w:p>
    <w:p>
      <w:pPr>
        <w:widowControl/>
        <w:spacing w:line="360" w:lineRule="auto"/>
        <w:jc w:val="center"/>
        <w:rPr>
          <w:rFonts w:ascii="华文中宋" w:hAnsi="华文中宋" w:eastAsia="华文中宋" w:cs="Times New Roman"/>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同类货物的销售业绩一览表，格式自拟</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类似证明材料为：中标通知书、合同、验收报告、用户证明等其中一项为准。</w:t>
      </w:r>
    </w:p>
    <w:p>
      <w:pPr>
        <w:pStyle w:val="2"/>
        <w:rPr>
          <w:rFonts w:hint="eastAsia"/>
          <w:lang w:val="en-US" w:eastAsia="zh-CN"/>
        </w:rPr>
      </w:pPr>
    </w:p>
    <w:p>
      <w:pPr>
        <w:rPr>
          <w:rFonts w:hint="eastAsia"/>
          <w:lang w:val="en-US" w:eastAsia="zh-CN"/>
        </w:rPr>
      </w:pPr>
    </w:p>
    <w:p>
      <w:pPr>
        <w:keepNext/>
        <w:keepLines/>
        <w:spacing w:before="260" w:after="260" w:line="416" w:lineRule="auto"/>
        <w:ind w:firstLine="2560" w:firstLineChars="800"/>
        <w:jc w:val="both"/>
        <w:outlineLvl w:val="2"/>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bookmarkStart w:id="307" w:name="_Toc9948651"/>
      <w:bookmarkStart w:id="308" w:name="_Toc21423783"/>
      <w:bookmarkStart w:id="309" w:name="_Toc21423843"/>
      <w:bookmarkStart w:id="310" w:name="_Toc21437231"/>
      <w:bookmarkStart w:id="311" w:name="_Toc30514600"/>
      <w:bookmarkStart w:id="312" w:name="_Toc30599814"/>
      <w:bookmarkStart w:id="313" w:name="_Toc19748"/>
      <w:bookmarkStart w:id="314" w:name="_Toc16799"/>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4.7投标人认为必要的其他内容</w:t>
      </w:r>
      <w:bookmarkEnd w:id="307"/>
      <w:bookmarkEnd w:id="308"/>
      <w:bookmarkEnd w:id="309"/>
      <w:bookmarkEnd w:id="310"/>
      <w:bookmarkEnd w:id="311"/>
      <w:bookmarkEnd w:id="312"/>
      <w:bookmarkEnd w:id="313"/>
      <w:bookmarkEnd w:id="314"/>
    </w:p>
    <w:p>
      <w:pPr>
        <w:widowControl/>
        <w:spacing w:line="480" w:lineRule="auto"/>
        <w:rPr>
          <w:rFonts w:ascii="华文中宋" w:hAnsi="华文中宋" w:eastAsia="华文中宋" w:cs="Times New Roman"/>
          <w:color w:val="FF0000"/>
          <w:szCs w:val="24"/>
        </w:rPr>
      </w:pPr>
      <w:r>
        <w:rPr>
          <w:rFonts w:ascii="华文中宋" w:hAnsi="华文中宋" w:eastAsia="华文中宋" w:cs="Times New Roman"/>
          <w:color w:val="FF0000"/>
          <w:szCs w:val="24"/>
        </w:rPr>
        <w:br w:type="page"/>
      </w:r>
    </w:p>
    <w:p>
      <w:pPr>
        <w:spacing w:line="360" w:lineRule="auto"/>
        <w:ind w:firstLine="640" w:firstLineChars="200"/>
        <w:jc w:val="both"/>
        <w:rPr>
          <w:rFonts w:ascii="华文中宋" w:hAnsi="华文中宋" w:eastAsia="华文中宋" w:cs="Times New Roman"/>
          <w:b/>
          <w:bCs/>
          <w:sz w:val="28"/>
          <w:szCs w:val="21"/>
        </w:rPr>
      </w:pPr>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以下附件，投标人可根据自身情况自行编辑填写（如有）</w:t>
      </w:r>
    </w:p>
    <w:p>
      <w:pPr>
        <w:widowControl/>
        <w:spacing w:line="360" w:lineRule="auto"/>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附件一：</w:t>
      </w:r>
    </w:p>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1.1 法定代表人身份证明书</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单位性质：</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widowControl/>
        <w:spacing w:line="360" w:lineRule="auto"/>
        <w:rPr>
          <w:rFonts w:hint="default"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地址：</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成立时间：</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年</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月</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日</w:t>
      </w:r>
    </w:p>
    <w:p>
      <w:pPr>
        <w:widowControl/>
        <w:spacing w:line="360" w:lineRule="auto"/>
        <w:rPr>
          <w:rFonts w:hint="default"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经营期限：</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姓名：</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性别：</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年龄：</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职务：</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系 </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（投标人名称）</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的法定代表人。</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特此证明。</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附：法定代表人身份证复印件（包括正反面）。</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spacing w:line="360" w:lineRule="auto"/>
        <w:jc w:val="both"/>
        <w:rPr>
          <w:rFonts w:ascii="华文中宋" w:hAnsi="华文中宋" w:eastAsia="华文中宋" w:cs="Times New Roman"/>
          <w:sz w:val="21"/>
          <w:szCs w:val="21"/>
        </w:rPr>
      </w:pPr>
    </w:p>
    <w:p>
      <w:pPr>
        <w:spacing w:line="360" w:lineRule="auto"/>
        <w:jc w:val="both"/>
        <w:rPr>
          <w:rFonts w:ascii="华文中宋" w:hAnsi="华文中宋" w:eastAsia="华文中宋" w:cs="Times New Roman"/>
          <w:sz w:val="21"/>
          <w:szCs w:val="21"/>
        </w:rPr>
      </w:pPr>
    </w:p>
    <w:p>
      <w:pPr>
        <w:spacing w:line="360" w:lineRule="auto"/>
        <w:jc w:val="both"/>
        <w:rPr>
          <w:rFonts w:ascii="华文中宋" w:hAnsi="华文中宋" w:eastAsia="华文中宋" w:cs="Times New Roman"/>
          <w:sz w:val="21"/>
          <w:szCs w:val="21"/>
        </w:rPr>
      </w:pPr>
    </w:p>
    <w:p>
      <w:pPr>
        <w:jc w:val="center"/>
        <w:rPr>
          <w:sz w:val="28"/>
        </w:rPr>
      </w:pPr>
      <w:bookmarkStart w:id="315" w:name="_Toc241053600"/>
      <w:bookmarkStart w:id="316" w:name="_Toc485159203"/>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1.2 法定代表人授权委托书</w:t>
      </w:r>
      <w:bookmarkEnd w:id="315"/>
      <w:bookmarkEnd w:id="316"/>
    </w:p>
    <w:p>
      <w:pPr>
        <w:spacing w:line="360" w:lineRule="auto"/>
        <w:ind w:firstLine="420" w:firstLineChars="200"/>
        <w:jc w:val="both"/>
        <w:rPr>
          <w:rFonts w:ascii="华文中宋" w:hAnsi="华文中宋" w:eastAsia="华文中宋" w:cs="Times New Roman"/>
          <w:sz w:val="21"/>
          <w:szCs w:val="21"/>
        </w:rPr>
      </w:pPr>
    </w:p>
    <w:p>
      <w:pPr>
        <w:widowControl/>
        <w:spacing w:line="360" w:lineRule="auto"/>
        <w:ind w:firstLine="480" w:firstLineChars="200"/>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本人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（姓名）</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系</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（投标人名称）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的法定代表人，现委托</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（姓名）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为我方委托代理人。代理人根据授权，以我方名义签署、澄清、说明、补正、递交、撤回、修改</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（项目名称）</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投标文件、签订合同和处理有关事宜，其法律后果由我方承担。</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委托期限：</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代理人无转委托权。</w:t>
      </w:r>
    </w:p>
    <w:p>
      <w:pPr>
        <w:widowControl/>
        <w:spacing w:line="360" w:lineRule="auto"/>
        <w:rPr>
          <w:rFonts w:ascii="华文中宋" w:hAnsi="华文中宋" w:eastAsia="华文中宋" w:cs="Times New Roman"/>
          <w:b/>
          <w:bCs/>
          <w:sz w:val="24"/>
          <w:szCs w:val="24"/>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委托代理人身份证复印件包括正反面</w:t>
      </w:r>
    </w:p>
    <w:p>
      <w:pPr>
        <w:spacing w:line="360" w:lineRule="auto"/>
        <w:ind w:firstLine="480" w:firstLineChars="200"/>
        <w:jc w:val="both"/>
        <w:rPr>
          <w:rFonts w:ascii="华文中宋" w:hAnsi="华文中宋" w:eastAsia="华文中宋" w:cs="Times New Roman"/>
          <w:sz w:val="24"/>
          <w:szCs w:val="24"/>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投 标 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（全称）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法定代表人：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法定代表人身份证号码：</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委托代理人：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职      务：</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代理人身份证号码：</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spacing w:line="360" w:lineRule="auto"/>
        <w:ind w:firstLine="480" w:firstLineChars="200"/>
        <w:jc w:val="both"/>
        <w:rPr>
          <w:rFonts w:ascii="华文中宋" w:hAnsi="华文中宋" w:eastAsia="华文中宋" w:cs="Times New Roman"/>
          <w:sz w:val="24"/>
          <w:szCs w:val="24"/>
          <w:u w:val="single"/>
        </w:rPr>
      </w:pPr>
    </w:p>
    <w:p>
      <w:pPr>
        <w:spacing w:line="360" w:lineRule="auto"/>
        <w:ind w:firstLine="480" w:firstLineChars="200"/>
        <w:jc w:val="both"/>
        <w:rPr>
          <w:rFonts w:ascii="华文中宋" w:hAnsi="华文中宋" w:eastAsia="华文中宋" w:cs="Times New Roman"/>
          <w:sz w:val="24"/>
          <w:szCs w:val="24"/>
        </w:rPr>
      </w:pPr>
      <w:r>
        <w:rPr>
          <w:rFonts w:hint="eastAsia" w:ascii="华文中宋" w:hAnsi="华文中宋" w:eastAsia="华文中宋" w:cs="Times New Roman"/>
          <w:sz w:val="24"/>
          <w:szCs w:val="24"/>
          <w:u w:val="none"/>
          <w:lang w:eastAsia="zh-CN"/>
        </w:rPr>
        <w:t>日期：</w:t>
      </w:r>
      <w:r>
        <w:rPr>
          <w:rFonts w:ascii="华文中宋" w:hAnsi="华文中宋" w:eastAsia="华文中宋" w:cs="Times New Roman"/>
          <w:sz w:val="24"/>
          <w:szCs w:val="24"/>
          <w:u w:val="single"/>
        </w:rPr>
        <w:t xml:space="preserve">        </w:t>
      </w:r>
      <w:r>
        <w:rPr>
          <w:rFonts w:ascii="华文中宋" w:hAnsi="华文中宋" w:eastAsia="华文中宋" w:cs="Times New Roman"/>
          <w:sz w:val="24"/>
          <w:szCs w:val="24"/>
        </w:rPr>
        <w:t>年</w:t>
      </w:r>
      <w:r>
        <w:rPr>
          <w:rFonts w:ascii="华文中宋" w:hAnsi="华文中宋" w:eastAsia="华文中宋" w:cs="Times New Roman"/>
          <w:sz w:val="24"/>
          <w:szCs w:val="24"/>
          <w:u w:val="single"/>
        </w:rPr>
        <w:t xml:space="preserve">     </w:t>
      </w:r>
      <w:r>
        <w:rPr>
          <w:rFonts w:ascii="华文中宋" w:hAnsi="华文中宋" w:eastAsia="华文中宋" w:cs="Times New Roman"/>
          <w:sz w:val="24"/>
          <w:szCs w:val="24"/>
        </w:rPr>
        <w:t>月</w:t>
      </w:r>
      <w:r>
        <w:rPr>
          <w:rFonts w:ascii="华文中宋" w:hAnsi="华文中宋" w:eastAsia="华文中宋" w:cs="Times New Roman"/>
          <w:sz w:val="24"/>
          <w:szCs w:val="24"/>
          <w:u w:val="single"/>
        </w:rPr>
        <w:t xml:space="preserve">     </w:t>
      </w:r>
      <w:r>
        <w:rPr>
          <w:rFonts w:ascii="华文中宋" w:hAnsi="华文中宋" w:eastAsia="华文中宋" w:cs="Times New Roman"/>
          <w:sz w:val="24"/>
          <w:szCs w:val="24"/>
        </w:rPr>
        <w:t>日</w:t>
      </w:r>
    </w:p>
    <w:p>
      <w:pPr>
        <w:spacing w:line="360" w:lineRule="auto"/>
        <w:ind w:firstLine="480" w:firstLineChars="200"/>
        <w:jc w:val="both"/>
        <w:rPr>
          <w:rFonts w:ascii="华文中宋" w:hAnsi="华文中宋" w:eastAsia="华文中宋" w:cs="Times New Roman"/>
          <w:sz w:val="24"/>
          <w:szCs w:val="24"/>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附：委托代理人详细地址：</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电话：</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widowControl/>
        <w:spacing w:line="360" w:lineRule="auto"/>
        <w:ind w:firstLine="480"/>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注：法定代表人身份证明书和法定代表人授权委托书，电子投标文件制作要求：原件扫描件上传。</w:t>
      </w:r>
    </w:p>
    <w:p>
      <w:pPr>
        <w:pStyle w:val="2"/>
      </w:pPr>
    </w:p>
    <w:p/>
    <w:p>
      <w:pPr>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附件二：</w:t>
      </w:r>
    </w:p>
    <w:p>
      <w:pPr>
        <w:jc w:val="cente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1.中小微企业声明函（中小微企业提供）</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项目编号：</w:t>
      </w:r>
    </w:p>
    <w:p>
      <w:pPr>
        <w:widowControl/>
        <w:spacing w:line="360" w:lineRule="auto"/>
        <w:ind w:firstLine="480" w:firstLineChars="200"/>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本公司郑重声明，根据《政府采购促进中小企业发展暂行办法》（财库【2011】181号）的规定，本公司为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（请填写：中型、小型、微型）</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企业。即，本公司同时满足以下条件：</w:t>
      </w:r>
    </w:p>
    <w:p>
      <w:pPr>
        <w:widowControl/>
        <w:spacing w:line="360" w:lineRule="auto"/>
        <w:ind w:firstLine="480" w:firstLineChars="200"/>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1.根据《工业和信息化部、国家统计局、国家发展和改革委员会、财政部关于印发中小企业划型规定的通知》（工信部联企业【2011】300号）规定的划分标准，本公司为（请填写：中型、小型、微型）企业。</w:t>
      </w:r>
    </w:p>
    <w:p>
      <w:pPr>
        <w:widowControl/>
        <w:spacing w:line="360" w:lineRule="auto"/>
        <w:ind w:firstLine="480" w:firstLineChars="200"/>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 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本公司对上述声明的真实性负责。如有虚假，将依法承担相应责任。</w:t>
      </w:r>
    </w:p>
    <w:p>
      <w:pPr>
        <w:pStyle w:val="2"/>
      </w:pPr>
    </w:p>
    <w:p>
      <w:pPr>
        <w:widowControl/>
        <w:spacing w:line="360" w:lineRule="auto"/>
        <w:rPr>
          <w:rFonts w:hint="default"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企业名称：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日   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pStyle w:val="2"/>
        <w:rPr>
          <w:rFonts w:hint="eastAsia" w:ascii="华文中宋" w:hAnsi="华文中宋" w:eastAsia="华文中宋" w:cs="Times New Roman"/>
          <w:szCs w:val="24"/>
        </w:rPr>
      </w:pPr>
    </w:p>
    <w:p>
      <w:pPr>
        <w:rPr>
          <w:rFonts w:hint="eastAsia" w:ascii="华文中宋" w:hAnsi="华文中宋" w:eastAsia="华文中宋" w:cs="Times New Roman"/>
          <w:szCs w:val="24"/>
        </w:rPr>
      </w:pPr>
    </w:p>
    <w:p>
      <w:pPr>
        <w:rPr>
          <w:rFonts w:hint="eastAsia"/>
        </w:rPr>
      </w:pPr>
    </w:p>
    <w:p>
      <w:pPr>
        <w:pStyle w:val="2"/>
        <w:rPr>
          <w:rFonts w:hint="eastAsia"/>
        </w:rPr>
      </w:pPr>
    </w:p>
    <w:p>
      <w:pPr>
        <w:rPr>
          <w:rFonts w:hint="eastAsia" w:ascii="华文中宋" w:hAnsi="华文中宋" w:eastAsia="华文中宋" w:cs="Times New Roman"/>
          <w:szCs w:val="24"/>
        </w:rPr>
      </w:pPr>
    </w:p>
    <w:p>
      <w:pPr>
        <w:spacing w:line="360" w:lineRule="auto"/>
        <w:ind w:right="720" w:firstLine="2161" w:firstLineChars="900"/>
        <w:jc w:val="both"/>
        <w:rPr>
          <w:rFonts w:ascii="华文中宋" w:hAnsi="华文中宋" w:eastAsia="华文中宋" w:cs="Times New Roman"/>
          <w:b/>
          <w:bCs/>
          <w:szCs w:val="24"/>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2.从业人员声明函（中小微企业提供）</w:t>
      </w:r>
    </w:p>
    <w:p>
      <w:pPr>
        <w:wordWrap w:val="0"/>
        <w:spacing w:line="360" w:lineRule="auto"/>
        <w:ind w:right="720" w:firstLine="480" w:firstLineChars="200"/>
        <w:jc w:val="center"/>
        <w:rPr>
          <w:rFonts w:ascii="华文中宋" w:hAnsi="华文中宋" w:eastAsia="华文中宋" w:cs="Times New Roman"/>
          <w:szCs w:val="24"/>
        </w:rPr>
      </w:pPr>
    </w:p>
    <w:p>
      <w:pPr>
        <w:widowControl/>
        <w:spacing w:line="360" w:lineRule="auto"/>
        <w:ind w:firstLine="480" w:firstLineChars="200"/>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项目编号：</w:t>
      </w:r>
    </w:p>
    <w:p>
      <w:pPr>
        <w:widowControl/>
        <w:spacing w:line="360" w:lineRule="auto"/>
        <w:ind w:firstLine="480" w:firstLineChars="200"/>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本公司郑重声明：根据《政府采购促进中小企业发展暂行办法》（财库【2011】181号）、《工业和信息化部、国家统计局、国家发展和改革委员会、财政部关于印发中小企业划型规定的通知》（工信部联企业【2011】300号）规定，本公司从业人员数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w:t>
      </w:r>
    </w:p>
    <w:p>
      <w:pPr>
        <w:widowControl/>
        <w:spacing w:line="360" w:lineRule="auto"/>
        <w:ind w:firstLine="480" w:firstLineChars="200"/>
        <w:rPr>
          <w:rFonts w:hint="eastAsia" w:ascii="华文中宋" w:hAnsi="华文中宋" w:eastAsia="华文中宋" w:cs="Times New Roman"/>
          <w:szCs w:val="24"/>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本公司对上述声明的真实性负责。如有虚假，将依法承担相应责任。</w:t>
      </w:r>
    </w:p>
    <w:p>
      <w:pPr>
        <w:pStyle w:val="2"/>
      </w:pPr>
    </w:p>
    <w:p>
      <w:pPr>
        <w:widowControl/>
        <w:spacing w:line="360" w:lineRule="auto"/>
        <w:rPr>
          <w:rFonts w:hint="default"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华文中宋" w:hAnsi="华文中宋" w:eastAsia="华文中宋" w:cs="仿宋"/>
          <w:szCs w:val="24"/>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企业名称：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日    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tabs>
          <w:tab w:val="left" w:pos="5580"/>
        </w:tabs>
        <w:spacing w:line="360" w:lineRule="auto"/>
        <w:ind w:right="480" w:firstLine="6480" w:firstLineChars="2700"/>
        <w:jc w:val="both"/>
        <w:rPr>
          <w:rFonts w:ascii="华文中宋" w:hAnsi="华文中宋" w:eastAsia="华文中宋" w:cs="Times New Roman"/>
          <w:kern w:val="0"/>
          <w:szCs w:val="24"/>
        </w:rPr>
      </w:pPr>
    </w:p>
    <w:p>
      <w:pPr>
        <w:widowControl/>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ascii="华文中宋" w:hAnsi="华文中宋" w:eastAsia="华文中宋" w:cs="Times New Roman"/>
          <w:b/>
          <w:szCs w:val="20"/>
        </w:rPr>
        <w:br w:type="page"/>
      </w: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3.在《小微企业名录》（http://xwqy.gsxt.gov.cn/）网络截图</w:t>
      </w:r>
    </w:p>
    <w:p>
      <w:pPr>
        <w:widowControl/>
        <w:jc w:val="center"/>
        <w:rPr>
          <w:rFonts w:ascii="华文中宋" w:hAnsi="华文中宋" w:eastAsia="华文中宋" w:cs="Times New Roman"/>
          <w:b/>
          <w:szCs w:val="20"/>
        </w:rPr>
      </w:pPr>
    </w:p>
    <w:p>
      <w:pPr>
        <w:widowControl/>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提供截图示范</w:t>
      </w:r>
    </w:p>
    <w:p>
      <w:pPr>
        <w:widowControl/>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第一张截图</w:t>
      </w:r>
    </w:p>
    <w:p>
      <w:pPr>
        <w:widowControl/>
        <w:rPr>
          <w:rFonts w:ascii="华文中宋" w:hAnsi="华文中宋" w:eastAsia="华文中宋" w:cs="Times New Roman"/>
          <w:b/>
          <w:szCs w:val="20"/>
        </w:rPr>
      </w:pPr>
      <w:r>
        <w:rPr>
          <w:rFonts w:ascii="华文宋体" w:hAnsi="华文宋体" w:eastAsia="华文宋体"/>
          <w:b/>
          <w:szCs w:val="20"/>
        </w:rPr>
        <w:drawing>
          <wp:inline distT="0" distB="0" distL="0" distR="0">
            <wp:extent cx="5486400" cy="30302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486400" cy="3030220"/>
                    </a:xfrm>
                    <a:prstGeom prst="rect">
                      <a:avLst/>
                    </a:prstGeom>
                    <a:noFill/>
                    <a:ln>
                      <a:noFill/>
                    </a:ln>
                  </pic:spPr>
                </pic:pic>
              </a:graphicData>
            </a:graphic>
          </wp:inline>
        </w:drawing>
      </w:r>
    </w:p>
    <w:p>
      <w:pPr>
        <w:widowControl/>
        <w:jc w:val="left"/>
        <w:rPr>
          <w:rFonts w:ascii="华文中宋" w:hAnsi="华文中宋" w:eastAsia="华文中宋" w:cs="Times New Roman"/>
          <w:b/>
          <w:szCs w:val="20"/>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第二张截图</w:t>
      </w:r>
    </w:p>
    <w:p>
      <w:pPr>
        <w:widowControl/>
        <w:rPr>
          <w:rFonts w:ascii="华文中宋" w:hAnsi="华文中宋" w:eastAsia="华文中宋" w:cs="Times New Roman"/>
          <w:b/>
          <w:szCs w:val="20"/>
        </w:rPr>
      </w:pPr>
      <w:r>
        <w:rPr>
          <w:rFonts w:ascii="华文宋体" w:hAnsi="华文宋体" w:eastAsia="华文宋体"/>
          <w:b/>
          <w:szCs w:val="20"/>
        </w:rPr>
        <w:drawing>
          <wp:inline distT="0" distB="0" distL="0" distR="0">
            <wp:extent cx="5467350" cy="27051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467350" cy="2705100"/>
                    </a:xfrm>
                    <a:prstGeom prst="rect">
                      <a:avLst/>
                    </a:prstGeom>
                    <a:noFill/>
                    <a:ln>
                      <a:noFill/>
                    </a:ln>
                  </pic:spPr>
                </pic:pic>
              </a:graphicData>
            </a:graphic>
          </wp:inline>
        </w:drawing>
      </w:r>
    </w:p>
    <w:p>
      <w:pPr>
        <w:widowControl/>
        <w:jc w:val="left"/>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不按照要求的不给予价格扣除，请各投标人关注。</w:t>
      </w:r>
    </w:p>
    <w:p>
      <w:pPr>
        <w:spacing w:line="460" w:lineRule="exact"/>
        <w:jc w:val="both"/>
        <w:rPr>
          <w:rFonts w:hint="eastAsia" w:ascii="华文中宋" w:hAnsi="华文中宋" w:eastAsia="华文中宋" w:cs="Times New Roman"/>
          <w:b/>
          <w:szCs w:val="20"/>
        </w:rPr>
      </w:pPr>
    </w:p>
    <w:p>
      <w:pPr>
        <w:spacing w:line="460" w:lineRule="exact"/>
        <w:jc w:val="both"/>
        <w:rPr>
          <w:rFonts w:hint="eastAsia" w:ascii="华文中宋" w:hAnsi="华文中宋" w:eastAsia="华文中宋" w:cs="Times New Roman"/>
          <w:b/>
          <w:szCs w:val="20"/>
        </w:rPr>
      </w:pPr>
    </w:p>
    <w:p>
      <w:pPr>
        <w:pStyle w:val="2"/>
        <w:rPr>
          <w:rFonts w:hint="eastAsia"/>
        </w:rPr>
      </w:pPr>
    </w:p>
    <w:p>
      <w:pPr>
        <w:spacing w:line="460" w:lineRule="exact"/>
        <w:jc w:val="both"/>
        <w:rPr>
          <w:rFonts w:hint="eastAsia" w:ascii="华文中宋" w:hAnsi="华文中宋" w:eastAsia="华文中宋" w:cs="Times New Roman"/>
          <w:b/>
          <w:szCs w:val="20"/>
        </w:rPr>
      </w:pPr>
    </w:p>
    <w:p>
      <w:pPr>
        <w:widowControl/>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4.所投货物的制造商为中小微型企业填下下表</w:t>
      </w:r>
    </w:p>
    <w:p>
      <w:pPr>
        <w:widowControl/>
        <w:jc w:val="cente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中小微型企业产品明细表</w:t>
      </w:r>
    </w:p>
    <w:p>
      <w:pPr>
        <w:widowControl/>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项目名称：                                                单位：元</w:t>
      </w:r>
    </w:p>
    <w:tbl>
      <w:tblPr>
        <w:tblStyle w:val="16"/>
        <w:tblW w:w="8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16"/>
        <w:gridCol w:w="1220"/>
        <w:gridCol w:w="1392"/>
        <w:gridCol w:w="1392"/>
        <w:gridCol w:w="1044"/>
        <w:gridCol w:w="870"/>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75" w:type="dxa"/>
            <w:vMerge w:val="restart"/>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序号</w:t>
            </w:r>
          </w:p>
        </w:tc>
        <w:tc>
          <w:tcPr>
            <w:tcW w:w="1316" w:type="dxa"/>
            <w:vMerge w:val="restart"/>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产品名称</w:t>
            </w:r>
          </w:p>
        </w:tc>
        <w:tc>
          <w:tcPr>
            <w:tcW w:w="1220" w:type="dxa"/>
            <w:vMerge w:val="restart"/>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制造商</w:t>
            </w:r>
          </w:p>
        </w:tc>
        <w:tc>
          <w:tcPr>
            <w:tcW w:w="1392" w:type="dxa"/>
            <w:vMerge w:val="restart"/>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品牌</w:t>
            </w:r>
          </w:p>
        </w:tc>
        <w:tc>
          <w:tcPr>
            <w:tcW w:w="1392" w:type="dxa"/>
            <w:vMerge w:val="restart"/>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规格型号</w:t>
            </w:r>
          </w:p>
        </w:tc>
        <w:tc>
          <w:tcPr>
            <w:tcW w:w="2884" w:type="dxa"/>
            <w:gridSpan w:val="3"/>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75" w:type="dxa"/>
            <w:vMerge w:val="continue"/>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6" w:type="dxa"/>
            <w:vMerge w:val="continue"/>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Merge w:val="continue"/>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Merge w:val="continue"/>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Merge w:val="continue"/>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44"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单价</w:t>
            </w:r>
          </w:p>
        </w:tc>
        <w:tc>
          <w:tcPr>
            <w:tcW w:w="8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数量</w:t>
            </w:r>
          </w:p>
        </w:tc>
        <w:tc>
          <w:tcPr>
            <w:tcW w:w="9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75"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w:t>
            </w:r>
          </w:p>
        </w:tc>
        <w:tc>
          <w:tcPr>
            <w:tcW w:w="1316"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44"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w:t>
            </w:r>
          </w:p>
        </w:tc>
        <w:tc>
          <w:tcPr>
            <w:tcW w:w="1316"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44"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75"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w:t>
            </w:r>
          </w:p>
        </w:tc>
        <w:tc>
          <w:tcPr>
            <w:tcW w:w="1316"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44"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75"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合计</w:t>
            </w:r>
          </w:p>
        </w:tc>
        <w:tc>
          <w:tcPr>
            <w:tcW w:w="1316"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44"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bl>
    <w:p>
      <w:pPr>
        <w:widowControl/>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p>
      <w:pPr>
        <w:widowControl/>
        <w:spacing w:line="360" w:lineRule="auto"/>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注：1.多家制造商提供不同的货物统一填写此表。</w:t>
      </w:r>
    </w:p>
    <w:p>
      <w:pPr>
        <w:widowControl/>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如所投货物的制造商为中小微型企业并给予价格扣除，在中标后原则上不给于更换此制造商生产的产品，如发生不可预见情况，更换的改产品必须是另外一家中小微型企业生产的产品并提供证明材料（更换产品必须优于原有产品）</w:t>
      </w:r>
    </w:p>
    <w:p>
      <w:pPr>
        <w:widowControl/>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3.此表后提供在《小微企业名录》（http://xwqy.gsxt.gov.cn/）网络截图（按上步骤提供）。</w:t>
      </w:r>
    </w:p>
    <w:p>
      <w:pPr>
        <w:widowControl/>
        <w:rPr>
          <w:rFonts w:ascii="华文中宋" w:hAnsi="华文中宋" w:eastAsia="华文中宋" w:cs="Times New Roman"/>
          <w:b/>
          <w:szCs w:val="20"/>
        </w:rPr>
      </w:pPr>
      <w:r>
        <w:rPr>
          <w:rFonts w:ascii="华文中宋" w:hAnsi="华文中宋" w:eastAsia="华文中宋" w:cs="Times New Roman"/>
          <w:b/>
          <w:szCs w:val="20"/>
        </w:rPr>
        <w:br w:type="page"/>
      </w:r>
    </w:p>
    <w:p>
      <w:pPr>
        <w:widowControl/>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附件三、监狱企业证明函</w:t>
      </w:r>
    </w:p>
    <w:p>
      <w:pPr>
        <w:widowControl/>
        <w:spacing w:line="360" w:lineRule="auto"/>
        <w:jc w:val="cente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（监狱企业提供）</w:t>
      </w:r>
    </w:p>
    <w:p>
      <w:pPr>
        <w:widowControl/>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本公司郑重声明，根据《财政部司法部关于政府采购支持监狱企业发展有关问题的通知》（财库[2014]68号）的规定，本公司为监狱企业。</w:t>
      </w:r>
    </w:p>
    <w:p>
      <w:pPr>
        <w:spacing w:line="360" w:lineRule="auto"/>
        <w:rPr>
          <w:rFonts w:ascii="华文中宋" w:hAnsi="华文中宋" w:eastAsia="华文中宋" w:cs="Times New Roman"/>
          <w:bCs/>
          <w:szCs w:val="20"/>
        </w:rPr>
      </w:pPr>
      <w:r>
        <w:rPr>
          <w:rFonts w:hint="eastAsia" w:ascii="华文中宋" w:hAnsi="华文中宋" w:eastAsia="华文中宋" w:cs="Times New Roman"/>
          <w:bCs/>
          <w:szCs w:val="20"/>
        </w:rPr>
        <w:t xml:space="preserve">     </w:t>
      </w:r>
    </w:p>
    <w:p>
      <w:pPr>
        <w:widowControl/>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投标人名称：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日  期：</w:t>
      </w:r>
      <w:bookmarkStart w:id="317" w:name="_Toc485159207"/>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pStyle w:val="2"/>
        <w:rPr>
          <w:rFonts w:hint="eastAsia"/>
          <w:lang w:val="en-US" w:eastAsia="zh-CN"/>
        </w:rPr>
      </w:pPr>
    </w:p>
    <w:p>
      <w:pPr>
        <w:widowControl/>
        <w:jc w:val="cente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监狱企业产品明细表</w:t>
      </w:r>
    </w:p>
    <w:p>
      <w:pPr>
        <w:widowControl/>
        <w:spacing w:line="360" w:lineRule="auto"/>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项目名称：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  包）                       单位：元</w:t>
      </w:r>
    </w:p>
    <w:tbl>
      <w:tblPr>
        <w:tblStyle w:val="16"/>
        <w:tblW w:w="9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16"/>
        <w:gridCol w:w="1220"/>
        <w:gridCol w:w="1392"/>
        <w:gridCol w:w="1392"/>
        <w:gridCol w:w="1178"/>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75" w:type="dxa"/>
            <w:vMerge w:val="restart"/>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序号</w:t>
            </w:r>
          </w:p>
        </w:tc>
        <w:tc>
          <w:tcPr>
            <w:tcW w:w="1316" w:type="dxa"/>
            <w:vMerge w:val="restart"/>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产品名称</w:t>
            </w:r>
          </w:p>
        </w:tc>
        <w:tc>
          <w:tcPr>
            <w:tcW w:w="1220" w:type="dxa"/>
            <w:vMerge w:val="restart"/>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制造商</w:t>
            </w:r>
          </w:p>
        </w:tc>
        <w:tc>
          <w:tcPr>
            <w:tcW w:w="1392" w:type="dxa"/>
            <w:vMerge w:val="restart"/>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品牌</w:t>
            </w:r>
          </w:p>
        </w:tc>
        <w:tc>
          <w:tcPr>
            <w:tcW w:w="1392" w:type="dxa"/>
            <w:vMerge w:val="restart"/>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规格型号</w:t>
            </w:r>
          </w:p>
        </w:tc>
        <w:tc>
          <w:tcPr>
            <w:tcW w:w="3698" w:type="dxa"/>
            <w:gridSpan w:val="3"/>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75" w:type="dxa"/>
            <w:vMerge w:val="continue"/>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6" w:type="dxa"/>
            <w:vMerge w:val="continue"/>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Merge w:val="continue"/>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Merge w:val="continue"/>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Merge w:val="continue"/>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8"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单价</w:t>
            </w:r>
          </w:p>
        </w:tc>
        <w:tc>
          <w:tcPr>
            <w:tcW w:w="1080"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数量</w:t>
            </w:r>
          </w:p>
        </w:tc>
        <w:tc>
          <w:tcPr>
            <w:tcW w:w="1440"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5"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w:t>
            </w:r>
          </w:p>
        </w:tc>
        <w:tc>
          <w:tcPr>
            <w:tcW w:w="1316"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8"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44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w:t>
            </w:r>
          </w:p>
        </w:tc>
        <w:tc>
          <w:tcPr>
            <w:tcW w:w="1316"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8"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44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75"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w:t>
            </w:r>
          </w:p>
        </w:tc>
        <w:tc>
          <w:tcPr>
            <w:tcW w:w="1316"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8"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44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75"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合计</w:t>
            </w:r>
          </w:p>
        </w:tc>
        <w:tc>
          <w:tcPr>
            <w:tcW w:w="1316"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8"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44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bl>
    <w:p>
      <w:pPr>
        <w:widowControl/>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p>
      <w:pPr>
        <w:widowControl/>
        <w:spacing w:line="360" w:lineRule="auto"/>
        <w:ind w:firstLine="480" w:firstLineChars="200"/>
        <w:jc w:val="left"/>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注：多家制造商提供不同的货物统一填写此表。</w:t>
      </w:r>
    </w:p>
    <w:p>
      <w:pPr>
        <w:widowControl/>
        <w:rPr>
          <w:rFonts w:ascii="华文中宋" w:hAnsi="华文中宋" w:eastAsia="华文中宋" w:cs="Times New Roman"/>
          <w:b/>
          <w:bCs/>
          <w:sz w:val="32"/>
          <w:szCs w:val="32"/>
        </w:rPr>
      </w:pPr>
    </w:p>
    <w:p>
      <w:pPr>
        <w:widowControl/>
        <w:rPr>
          <w:rFonts w:ascii="华文中宋" w:hAnsi="华文中宋" w:eastAsia="华文中宋" w:cs="Times New Roman"/>
          <w:b/>
          <w:szCs w:val="20"/>
        </w:rPr>
      </w:pPr>
      <w:r>
        <w:rPr>
          <w:rFonts w:ascii="华文中宋" w:hAnsi="华文中宋" w:eastAsia="华文中宋" w:cs="Times New Roman"/>
          <w:b/>
          <w:szCs w:val="20"/>
        </w:rPr>
        <w:br w:type="page"/>
      </w:r>
    </w:p>
    <w:p>
      <w:pPr>
        <w:widowControl/>
        <w:spacing w:line="360" w:lineRule="auto"/>
        <w:jc w:val="left"/>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附件四、残疾人福利性单位（残疾人福利性单位提供）</w:t>
      </w:r>
    </w:p>
    <w:p>
      <w:pPr>
        <w:widowControl/>
        <w:spacing w:line="360" w:lineRule="auto"/>
        <w:ind w:firstLine="480" w:firstLineChars="200"/>
        <w:jc w:val="left"/>
        <w:rPr>
          <w:rFonts w:ascii="华文中宋" w:hAnsi="华文中宋" w:eastAsia="华文中宋" w:cs="Times New Roman"/>
          <w:szCs w:val="20"/>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（原件扫描件上传，原件带到开标现场审查，残疾人福利性单位提供）</w:t>
      </w:r>
    </w:p>
    <w:p>
      <w:pPr>
        <w:spacing w:line="588" w:lineRule="exact"/>
        <w:jc w:val="center"/>
        <w:rPr>
          <w:rFonts w:ascii="华文中宋" w:hAnsi="华文中宋" w:eastAsia="华文中宋" w:cs="Times New Roman"/>
          <w:b/>
          <w:spacing w:val="6"/>
          <w:sz w:val="32"/>
          <w:szCs w:val="32"/>
        </w:rPr>
      </w:pPr>
      <w:bookmarkStart w:id="318" w:name="OLE_LINK13"/>
      <w:bookmarkStart w:id="319" w:name="OLE_LINK14"/>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残疾人福利性单位声明函</w:t>
      </w:r>
      <w:bookmarkEnd w:id="318"/>
      <w:bookmarkEnd w:id="319"/>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jc w:val="both"/>
        <w:rPr>
          <w:rFonts w:hint="eastAsia"/>
          <w:lang w:val="en-US" w:eastAsia="zh-CN"/>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本单位对上述声明的真实性负责。如有虚假，将依法承担相应责任。</w:t>
      </w:r>
    </w:p>
    <w:p>
      <w:pPr>
        <w:spacing w:line="588" w:lineRule="exact"/>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单位名称：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588" w:lineRule="exact"/>
        <w:jc w:val="both"/>
        <w:rPr>
          <w:rFonts w:hint="default"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日  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adjustRightInd w:val="0"/>
        <w:snapToGrid w:val="0"/>
        <w:spacing w:line="440" w:lineRule="exact"/>
        <w:jc w:val="center"/>
        <w:rPr>
          <w:rFonts w:ascii="华文中宋" w:hAnsi="华文中宋" w:eastAsia="华文中宋" w:cs="Times New Roman"/>
          <w:b/>
          <w:sz w:val="28"/>
          <w:szCs w:val="28"/>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残疾人福利性单位产品明细表</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项目名称： </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  包）</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单位：元</w:t>
      </w:r>
    </w:p>
    <w:tbl>
      <w:tblPr>
        <w:tblStyle w:val="16"/>
        <w:tblW w:w="9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16"/>
        <w:gridCol w:w="1220"/>
        <w:gridCol w:w="1392"/>
        <w:gridCol w:w="1392"/>
        <w:gridCol w:w="1208"/>
        <w:gridCol w:w="121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75"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序号</w:t>
            </w:r>
          </w:p>
        </w:tc>
        <w:tc>
          <w:tcPr>
            <w:tcW w:w="1316"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产品名称</w:t>
            </w:r>
          </w:p>
        </w:tc>
        <w:tc>
          <w:tcPr>
            <w:tcW w:w="1220"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制造商</w:t>
            </w:r>
          </w:p>
        </w:tc>
        <w:tc>
          <w:tcPr>
            <w:tcW w:w="1392"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品牌</w:t>
            </w:r>
          </w:p>
        </w:tc>
        <w:tc>
          <w:tcPr>
            <w:tcW w:w="1392"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规格型号</w:t>
            </w:r>
          </w:p>
        </w:tc>
        <w:tc>
          <w:tcPr>
            <w:tcW w:w="3713" w:type="dxa"/>
            <w:gridSpan w:val="3"/>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75"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6" w:type="dxa"/>
            <w:vMerge w:val="continue"/>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Merge w:val="continue"/>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Merge w:val="continue"/>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Merge w:val="continue"/>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08"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单价</w:t>
            </w:r>
          </w:p>
        </w:tc>
        <w:tc>
          <w:tcPr>
            <w:tcW w:w="1215"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数量</w:t>
            </w:r>
          </w:p>
        </w:tc>
        <w:tc>
          <w:tcPr>
            <w:tcW w:w="129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75"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w:t>
            </w:r>
          </w:p>
        </w:tc>
        <w:tc>
          <w:tcPr>
            <w:tcW w:w="13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0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w:t>
            </w:r>
          </w:p>
        </w:tc>
        <w:tc>
          <w:tcPr>
            <w:tcW w:w="13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0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75"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w:t>
            </w:r>
          </w:p>
        </w:tc>
        <w:tc>
          <w:tcPr>
            <w:tcW w:w="13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0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75"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合计</w:t>
            </w:r>
          </w:p>
        </w:tc>
        <w:tc>
          <w:tcPr>
            <w:tcW w:w="13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0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bl>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注：多家制造商提供不同的货物统一填写此表。</w:t>
      </w:r>
    </w:p>
    <w:p>
      <w:pPr>
        <w:pStyle w:val="2"/>
        <w:rPr>
          <w:rFonts w:hint="eastAsia"/>
          <w:lang w:val="en-US" w:eastAsia="zh-CN"/>
        </w:rPr>
      </w:pPr>
    </w:p>
    <w:p>
      <w:pPr>
        <w:widowControl/>
        <w:adjustRightInd w:val="0"/>
        <w:snapToGrid w:val="0"/>
        <w:spacing w:line="360" w:lineRule="auto"/>
        <w:rPr>
          <w:rFonts w:hint="eastAsia" w:ascii="华文中宋" w:hAnsi="华文中宋" w:eastAsia="华文中宋" w:cs="Times New Roman"/>
          <w:b/>
          <w:sz w:val="28"/>
          <w:szCs w:val="28"/>
        </w:rPr>
      </w:pPr>
    </w:p>
    <w:p>
      <w:pPr>
        <w:widowControl/>
        <w:adjustRightInd w:val="0"/>
        <w:snapToGrid w:val="0"/>
        <w:spacing w:line="360" w:lineRule="auto"/>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附件五、供应商提供的产品为节能产品填写以下表格</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w:t>
      </w:r>
    </w:p>
    <w:p>
      <w:pPr>
        <w:spacing w:line="588" w:lineRule="exact"/>
        <w:ind w:firstLine="480" w:firstLineChars="200"/>
        <w:jc w:val="both"/>
        <w:rPr>
          <w:rFonts w:hint="default"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招标编号：</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   包）</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996"/>
        <w:gridCol w:w="911"/>
        <w:gridCol w:w="1216"/>
        <w:gridCol w:w="1214"/>
        <w:gridCol w:w="1556"/>
        <w:gridCol w:w="945"/>
        <w:gridCol w:w="102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80"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序号</w:t>
            </w:r>
          </w:p>
        </w:tc>
        <w:tc>
          <w:tcPr>
            <w:tcW w:w="996"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产品名称</w:t>
            </w:r>
          </w:p>
        </w:tc>
        <w:tc>
          <w:tcPr>
            <w:tcW w:w="911"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制造商</w:t>
            </w:r>
          </w:p>
        </w:tc>
        <w:tc>
          <w:tcPr>
            <w:tcW w:w="1216"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规格型号</w:t>
            </w:r>
          </w:p>
        </w:tc>
        <w:tc>
          <w:tcPr>
            <w:tcW w:w="1214" w:type="dxa"/>
            <w:vMerge w:val="restart"/>
            <w:vAlign w:val="center"/>
          </w:tcPr>
          <w:p>
            <w:pPr>
              <w:spacing w:line="588" w:lineRule="exact"/>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节能标志认证证书</w:t>
            </w:r>
          </w:p>
          <w:p>
            <w:pPr>
              <w:spacing w:line="588" w:lineRule="exact"/>
              <w:ind w:firstLine="240" w:firstLineChars="1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编号</w:t>
            </w:r>
          </w:p>
        </w:tc>
        <w:tc>
          <w:tcPr>
            <w:tcW w:w="1556"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认证证书有效截止日期</w:t>
            </w:r>
          </w:p>
        </w:tc>
        <w:tc>
          <w:tcPr>
            <w:tcW w:w="3135" w:type="dxa"/>
            <w:gridSpan w:val="3"/>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80"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96"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11"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6"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4"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56"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45"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单价</w:t>
            </w:r>
          </w:p>
        </w:tc>
        <w:tc>
          <w:tcPr>
            <w:tcW w:w="102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数量</w:t>
            </w:r>
          </w:p>
        </w:tc>
        <w:tc>
          <w:tcPr>
            <w:tcW w:w="117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w:t>
            </w:r>
          </w:p>
        </w:tc>
        <w:tc>
          <w:tcPr>
            <w:tcW w:w="99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1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5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4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8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w:t>
            </w:r>
          </w:p>
        </w:tc>
        <w:tc>
          <w:tcPr>
            <w:tcW w:w="99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1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5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4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8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w:t>
            </w:r>
          </w:p>
        </w:tc>
        <w:tc>
          <w:tcPr>
            <w:tcW w:w="99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1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5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4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8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4</w:t>
            </w:r>
          </w:p>
        </w:tc>
        <w:tc>
          <w:tcPr>
            <w:tcW w:w="99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1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5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4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合计</w:t>
            </w:r>
          </w:p>
        </w:tc>
        <w:tc>
          <w:tcPr>
            <w:tcW w:w="99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1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5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4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bl>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说明：1、节能产品根据财政部、国家发展改革委最新公布的节能产品政府采购清单确定。 </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2、如所投产品为节能产品（强制采购产品除外），必须按规定格式逐项填写，否则评审时不予价格扣除。 </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附：中国政府采购网（www.ccgp.gov.cn）节能环保栏目下的网页截屏并彩色打印。</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投标人：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588" w:lineRule="exact"/>
        <w:ind w:firstLine="480" w:firstLineChars="200"/>
        <w:jc w:val="both"/>
        <w:rPr>
          <w:rFonts w:ascii="华文中宋" w:hAnsi="华文中宋" w:eastAsia="华文中宋" w:cs="Times New Roman"/>
          <w:szCs w:val="24"/>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法定代表人或其委托代理人：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adjustRightInd w:val="0"/>
        <w:snapToGrid w:val="0"/>
        <w:spacing w:line="360" w:lineRule="auto"/>
        <w:ind w:firstLine="240" w:firstLineChars="100"/>
        <w:jc w:val="both"/>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华文中宋" w:hAnsi="华文中宋" w:eastAsia="华文中宋" w:cs="Times New Roman"/>
          <w:szCs w:val="24"/>
          <w:u w:val="none"/>
        </w:rPr>
        <w:t xml:space="preserve"> </w:t>
      </w:r>
      <w:r>
        <w:rPr>
          <w:rFonts w:hint="eastAsia" w:ascii="华文中宋" w:hAnsi="华文中宋" w:eastAsia="华文中宋" w:cs="Times New Roman"/>
          <w:szCs w:val="24"/>
          <w:u w:val="none"/>
          <w:lang w:val="en-US" w:eastAsia="zh-CN"/>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日 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pStyle w:val="2"/>
      </w:pPr>
    </w:p>
    <w:p/>
    <w:p>
      <w:pPr>
        <w:widowControl/>
        <w:adjustRightInd w:val="0"/>
        <w:snapToGrid w:val="0"/>
        <w:spacing w:line="360" w:lineRule="auto"/>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附件六、供应商提供的产品为环境标志产品填写以下表格</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w:t>
      </w:r>
    </w:p>
    <w:p>
      <w:pPr>
        <w:spacing w:line="588" w:lineRule="exact"/>
        <w:ind w:firstLine="480" w:firstLineChars="200"/>
        <w:jc w:val="both"/>
        <w:rPr>
          <w:rFonts w:hint="default"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招标编号：</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   包）</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024"/>
        <w:gridCol w:w="1088"/>
        <w:gridCol w:w="891"/>
        <w:gridCol w:w="1152"/>
        <w:gridCol w:w="1319"/>
        <w:gridCol w:w="990"/>
        <w:gridCol w:w="823"/>
        <w:gridCol w:w="66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89"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序号</w:t>
            </w:r>
          </w:p>
        </w:tc>
        <w:tc>
          <w:tcPr>
            <w:tcW w:w="1024"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产品名称</w:t>
            </w:r>
          </w:p>
        </w:tc>
        <w:tc>
          <w:tcPr>
            <w:tcW w:w="1088"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制造商</w:t>
            </w:r>
          </w:p>
        </w:tc>
        <w:tc>
          <w:tcPr>
            <w:tcW w:w="891"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品牌</w:t>
            </w:r>
          </w:p>
        </w:tc>
        <w:tc>
          <w:tcPr>
            <w:tcW w:w="1152"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规格型号</w:t>
            </w:r>
          </w:p>
        </w:tc>
        <w:tc>
          <w:tcPr>
            <w:tcW w:w="1319"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中国环境标志认证证书编号</w:t>
            </w:r>
          </w:p>
        </w:tc>
        <w:tc>
          <w:tcPr>
            <w:tcW w:w="990"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认证证书有效截止日期</w:t>
            </w:r>
          </w:p>
        </w:tc>
        <w:tc>
          <w:tcPr>
            <w:tcW w:w="2143" w:type="dxa"/>
            <w:gridSpan w:val="3"/>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789"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24"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8"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91"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52"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9"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90"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23"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单价</w:t>
            </w:r>
          </w:p>
        </w:tc>
        <w:tc>
          <w:tcPr>
            <w:tcW w:w="66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数量</w:t>
            </w:r>
          </w:p>
        </w:tc>
        <w:tc>
          <w:tcPr>
            <w:tcW w:w="66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89"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w:t>
            </w:r>
          </w:p>
        </w:tc>
        <w:tc>
          <w:tcPr>
            <w:tcW w:w="102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9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5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9"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23"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89"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w:t>
            </w:r>
          </w:p>
        </w:tc>
        <w:tc>
          <w:tcPr>
            <w:tcW w:w="102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9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5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9"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23"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89"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w:t>
            </w:r>
          </w:p>
        </w:tc>
        <w:tc>
          <w:tcPr>
            <w:tcW w:w="102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9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5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9"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23"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89"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4</w:t>
            </w:r>
          </w:p>
        </w:tc>
        <w:tc>
          <w:tcPr>
            <w:tcW w:w="102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9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5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9"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23"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合计</w:t>
            </w:r>
          </w:p>
        </w:tc>
        <w:tc>
          <w:tcPr>
            <w:tcW w:w="102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9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5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9"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23"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bl>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说明：1、环境标志产品根据财政部、环境保护部最新公布的环境标志产品政府采清单确定。</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2、如所投产品为环保产品，必须按规定格式逐项填写，否则评审时不予加分。 </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附：国政府采购网（www.ccgp.gov.cn）节能环保栏目下的网页截屏并彩色打印。</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投标人：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法定代表人或其委托代理人：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日期：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widowControl/>
        <w:spacing w:line="360" w:lineRule="auto"/>
        <w:rPr>
          <w:rFonts w:ascii="华文中宋" w:hAnsi="华文中宋" w:eastAsia="华文中宋" w:cs="Times New Roman"/>
          <w:b/>
          <w:szCs w:val="20"/>
        </w:rPr>
      </w:pPr>
    </w:p>
    <w:p>
      <w:pPr>
        <w:widowControl/>
        <w:rPr>
          <w:rFonts w:ascii="华文中宋" w:hAnsi="华文中宋" w:eastAsia="华文中宋" w:cs="Times New Roman"/>
          <w:b/>
          <w:sz w:val="28"/>
          <w:szCs w:val="28"/>
        </w:rPr>
      </w:pPr>
    </w:p>
    <w:p>
      <w:pPr>
        <w:pStyle w:val="2"/>
      </w:pPr>
    </w:p>
    <w:p/>
    <w:p>
      <w:pPr>
        <w:pStyle w:val="3"/>
        <w:rPr>
          <w:rFonts w:ascii="华文中宋" w:hAnsi="华文中宋" w:eastAsia="华文中宋" w:cs="Times New Roman"/>
          <w:sz w:val="32"/>
          <w:szCs w:val="32"/>
        </w:rPr>
      </w:pPr>
      <w:bookmarkStart w:id="320" w:name="_Toc30599815"/>
      <w:bookmarkStart w:id="321" w:name="_Toc30514601"/>
      <w:bookmarkStart w:id="322" w:name="_Toc25233"/>
      <w: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t>第五章</w:t>
      </w:r>
      <w:bookmarkEnd w:id="317"/>
      <w: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t>合同条款及格式</w:t>
      </w:r>
      <w:bookmarkEnd w:id="320"/>
      <w:bookmarkEnd w:id="321"/>
      <w:bookmarkEnd w:id="322"/>
    </w:p>
    <w:p>
      <w:pPr>
        <w:spacing w:before="240" w:after="60"/>
        <w:jc w:val="center"/>
        <w:outlineLvl w:val="0"/>
        <w:rPr>
          <w:rFonts w:ascii="华文中宋" w:hAnsi="华文中宋" w:eastAsia="华文中宋" w:cs="Times New Roman"/>
          <w:b/>
          <w:bCs/>
          <w:sz w:val="32"/>
          <w:szCs w:val="32"/>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t>注：此合同范本为参考文本，具体合同以甲乙双方签订合同为准。</w:t>
      </w:r>
    </w:p>
    <w:p>
      <w:pP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jc w:val="cente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t>合同编号：</w:t>
      </w:r>
    </w:p>
    <w:p>
      <w:pPr>
        <w:jc w:val="both"/>
        <w:rPr>
          <w:rFonts w:ascii="华文中宋" w:hAnsi="华文中宋" w:eastAsia="华文中宋" w:cs="Times New Roman"/>
          <w:spacing w:val="20"/>
          <w:sz w:val="28"/>
          <w:szCs w:val="28"/>
        </w:rPr>
      </w:pPr>
    </w:p>
    <w:p>
      <w:pPr>
        <w:ind w:firstLine="4320" w:firstLineChars="900"/>
        <w:jc w:val="right"/>
        <w:rPr>
          <w:rFonts w:ascii="华文中宋" w:hAnsi="华文中宋" w:eastAsia="华文中宋" w:cs="Times New Roman"/>
          <w:spacing w:val="20"/>
          <w:sz w:val="44"/>
          <w:szCs w:val="44"/>
        </w:rPr>
      </w:pPr>
    </w:p>
    <w:p>
      <w:pPr>
        <w:ind w:firstLine="4320" w:firstLineChars="900"/>
        <w:jc w:val="right"/>
        <w:rPr>
          <w:rFonts w:ascii="华文中宋" w:hAnsi="华文中宋" w:eastAsia="华文中宋" w:cs="Times New Roman"/>
          <w:spacing w:val="20"/>
          <w:sz w:val="44"/>
          <w:szCs w:val="44"/>
        </w:rPr>
      </w:pPr>
    </w:p>
    <w:p>
      <w:pPr>
        <w:ind w:firstLine="4320" w:firstLineChars="900"/>
        <w:jc w:val="right"/>
        <w:rPr>
          <w:rFonts w:ascii="华文中宋" w:hAnsi="华文中宋" w:eastAsia="华文中宋" w:cs="Times New Roman"/>
          <w:spacing w:val="20"/>
          <w:sz w:val="44"/>
          <w:szCs w:val="44"/>
        </w:rPr>
      </w:pPr>
    </w:p>
    <w:p>
      <w:pPr>
        <w:ind w:firstLine="2400" w:firstLineChars="7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t>（加盖甲乙双方骑缝章有效）</w:t>
      </w: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t>合同签订时间：</w:t>
      </w:r>
      <w:r>
        <w:rPr>
          <w:rFonts w:hint="eastAsia" w:ascii="方正仿宋简体" w:hAnsi="方正仿宋简体" w:eastAsia="方正仿宋简体" w:cs="方正仿宋简体"/>
          <w:b w:val="0"/>
          <w:bCs w:val="0"/>
          <w:color w:val="000000" w:themeColor="text1"/>
          <w:kern w:val="2"/>
          <w:sz w:val="32"/>
          <w:szCs w:val="32"/>
          <w:u w:val="single"/>
          <w:lang w:val="en-US" w:eastAsia="zh-CN" w:bidi="ar-SA"/>
          <w14:textFill>
            <w14:solidFill>
              <w14:schemeClr w14:val="tx1"/>
            </w14:solidFill>
          </w14:textFill>
        </w:rPr>
        <w:t xml:space="preserve">                 　　　      </w:t>
      </w: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t>合同签订地点：</w:t>
      </w:r>
      <w:r>
        <w:rPr>
          <w:rFonts w:hint="eastAsia" w:ascii="方正仿宋简体" w:hAnsi="方正仿宋简体" w:eastAsia="方正仿宋简体" w:cs="方正仿宋简体"/>
          <w:b w:val="0"/>
          <w:bCs w:val="0"/>
          <w:color w:val="000000" w:themeColor="text1"/>
          <w:kern w:val="2"/>
          <w:sz w:val="32"/>
          <w:szCs w:val="32"/>
          <w:u w:val="single"/>
          <w:lang w:val="en-US" w:eastAsia="zh-CN" w:bidi="ar-SA"/>
          <w14:textFill>
            <w14:solidFill>
              <w14:schemeClr w14:val="tx1"/>
            </w14:solidFill>
          </w14:textFill>
        </w:rPr>
        <w:t xml:space="preserve">                   　　  　  </w:t>
      </w:r>
    </w:p>
    <w:p>
      <w:pPr>
        <w:spacing w:line="276" w:lineRule="auto"/>
        <w:rPr>
          <w:rFonts w:ascii="华文中宋" w:hAnsi="华文中宋" w:eastAsia="华文中宋" w:cs="Times New Roman"/>
          <w:b/>
          <w:spacing w:val="20"/>
          <w:sz w:val="28"/>
          <w:szCs w:val="28"/>
        </w:rPr>
      </w:pPr>
    </w:p>
    <w:p>
      <w:pPr>
        <w:widowControl/>
        <w:rPr>
          <w:rFonts w:ascii="黑体" w:hAnsi="黑体" w:eastAsia="黑体" w:cs="黑体"/>
          <w:b/>
          <w:color w:val="000000"/>
          <w:szCs w:val="24"/>
        </w:rPr>
      </w:pPr>
      <w:r>
        <w:rPr>
          <w:rFonts w:ascii="黑体" w:hAnsi="黑体" w:eastAsia="黑体" w:cs="黑体"/>
          <w:b/>
          <w:color w:val="000000"/>
          <w:szCs w:val="24"/>
        </w:rPr>
        <w:br w:type="page"/>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bookmarkStart w:id="323" w:name="_Toc11245959"/>
      <w:bookmarkStart w:id="324" w:name="_Toc11245956"/>
      <w:bookmarkStart w:id="325" w:name="OLE_LINK36"/>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采购人(以下称甲方)：</w:t>
      </w:r>
      <w:bookmarkEnd w:id="323"/>
      <w:bookmarkStart w:id="326" w:name="_Toc11245960"/>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供应商(以下称乙方)：</w:t>
      </w:r>
      <w:bookmarkEnd w:id="326"/>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为了保护甲、乙双方合法权益，根据《中华人民共和国合同法》、《中华人民共和国政府采购法》及其他有关法律、法规、规章，双方签订本合同协议书。甲、乙双方本着自愿、平等、互利和诚实信用的原则，经充分协商，就甲方向乙方购买以下货物达成如下协议：</w:t>
      </w:r>
      <w:bookmarkEnd w:id="324"/>
      <w:bookmarkStart w:id="327" w:name="_Toc427506724"/>
    </w:p>
    <w:bookmarkEnd w:id="327"/>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28" w:name="_Toc427506727"/>
      <w:bookmarkStart w:id="329" w:name="_Toc11245979"/>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1.合同标的及金额</w:t>
      </w:r>
      <w:bookmarkEnd w:id="328"/>
      <w:bookmarkEnd w:id="329"/>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30" w:name="_Toc11245980"/>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1.1乙方为履行本合同而发生的所有费用均应包含在合同价款中，包含完成该采购项目的设备（货物）价格（含备品备件及专用工具）、利润、版权专利、运输费、保险费、检验费、安装调试、售后服务、维修服务、培训、各种税费等政策性文件规定费用以及在交付合法有效使用过程中的一切不可预见费用，甲方不再另行支付其它任何费用，合同标的及金额应与成交结果一致。</w:t>
      </w:r>
      <w:bookmarkEnd w:id="330"/>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31" w:name="_Toc11245981"/>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1.2本合同的合同价为人民币：</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    元）</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，货物具体配置（技术要求）要求和价格如下：</w:t>
      </w:r>
      <w:bookmarkEnd w:id="331"/>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32" w:name="_Toc11245982"/>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金额单位：元</w:t>
      </w:r>
      <w:bookmarkEnd w:id="332"/>
    </w:p>
    <w:tbl>
      <w:tblPr>
        <w:tblStyle w:val="16"/>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09"/>
        <w:gridCol w:w="1526"/>
        <w:gridCol w:w="1445"/>
        <w:gridCol w:w="2577"/>
        <w:gridCol w:w="1282"/>
        <w:gridCol w:w="859"/>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93" w:hRule="atLeast"/>
        </w:trPr>
        <w:tc>
          <w:tcPr>
            <w:tcW w:w="709" w:type="dxa"/>
            <w:shd w:val="clear" w:color="auto" w:fill="FFFFFF"/>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序号</w:t>
            </w:r>
          </w:p>
        </w:tc>
        <w:tc>
          <w:tcPr>
            <w:tcW w:w="1526" w:type="dxa"/>
            <w:shd w:val="clear" w:color="auto" w:fill="FFFFFF"/>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货物名称</w:t>
            </w:r>
          </w:p>
        </w:tc>
        <w:tc>
          <w:tcPr>
            <w:tcW w:w="1445" w:type="dxa"/>
            <w:shd w:val="clear" w:color="auto" w:fill="FFFFFF"/>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型号或规格</w:t>
            </w:r>
          </w:p>
        </w:tc>
        <w:tc>
          <w:tcPr>
            <w:tcW w:w="2577" w:type="dxa"/>
            <w:shd w:val="clear" w:color="auto" w:fill="FFFFFF"/>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制造商/生产厂商名称</w:t>
            </w:r>
          </w:p>
        </w:tc>
        <w:tc>
          <w:tcPr>
            <w:tcW w:w="1282" w:type="dxa"/>
            <w:shd w:val="clear" w:color="auto" w:fill="FFFFFF"/>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单位数量</w:t>
            </w:r>
          </w:p>
        </w:tc>
        <w:tc>
          <w:tcPr>
            <w:tcW w:w="859" w:type="dxa"/>
            <w:shd w:val="clear" w:color="auto" w:fill="FFFFFF"/>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单价</w:t>
            </w:r>
          </w:p>
        </w:tc>
        <w:tc>
          <w:tcPr>
            <w:tcW w:w="1100" w:type="dxa"/>
            <w:shd w:val="clear" w:color="auto" w:fill="FFFFFF"/>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09"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26"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445"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2577"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82"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59"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00"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09"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26"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445"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2577"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82"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59"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00"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498" w:type="dxa"/>
            <w:gridSpan w:val="7"/>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33" w:name="_Toc11245994"/>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总计：</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元（大写：   ）</w:t>
            </w:r>
            <w:bookmarkEnd w:id="333"/>
          </w:p>
        </w:tc>
      </w:tr>
    </w:tbl>
    <w:p>
      <w:pPr>
        <w:numPr>
          <w:ilvl w:val="0"/>
          <w:numId w:val="2"/>
        </w:num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bookmarkStart w:id="334" w:name="_Toc427506728"/>
      <w:bookmarkStart w:id="335" w:name="_Toc11245995"/>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履行合同的时间、地点</w:t>
      </w:r>
      <w:bookmarkEnd w:id="334"/>
      <w:bookmarkEnd w:id="335"/>
      <w:bookmarkStart w:id="336" w:name="_Toc11245996"/>
    </w:p>
    <w:p>
      <w:pPr>
        <w:numPr>
          <w:ilvl w:val="0"/>
          <w:numId w:val="0"/>
        </w:num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2.1 乙方应在合同签订后</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天内完成本合同内货物的交货、安装、调试、培训工作。</w:t>
      </w:r>
      <w:bookmarkEnd w:id="336"/>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37" w:name="_Toc11245997"/>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2.2 交货地点：</w:t>
      </w:r>
      <w:bookmarkEnd w:id="337"/>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38" w:name="_Toc11245998"/>
      <w:bookmarkStart w:id="339" w:name="_Toc427506729"/>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3.货物的验收</w:t>
      </w:r>
      <w:bookmarkEnd w:id="338"/>
      <w:bookmarkEnd w:id="339"/>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ab/>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40" w:name="_Toc11245999"/>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3.1 甲方在收到乙方交付的货物后应当及时组织验收。</w:t>
      </w:r>
      <w:bookmarkEnd w:id="340"/>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41" w:name="_Toc11246004"/>
      <w:bookmarkStart w:id="342" w:name="_Toc11246001"/>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3.2甲方邀请相关人员（评标委员会）参加验收工作，并由其出具验收报告书。</w:t>
      </w:r>
      <w:bookmarkEnd w:id="341"/>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3.3 在验收过程中发现货物数量不足或有质量、技术等问题，乙方应负责按照验收组的要求或建议采取补足、更换或退货等处理措施，并承担由此发生的一切费用和损失。</w:t>
      </w:r>
      <w:bookmarkEnd w:id="342"/>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43" w:name="_Toc427506730"/>
      <w:bookmarkStart w:id="344" w:name="_Toc11246006"/>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4.货物包装要求</w:t>
      </w:r>
      <w:bookmarkEnd w:id="343"/>
      <w:bookmarkEnd w:id="344"/>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45" w:name="_Toc11246007"/>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4.1 乙方所出售的全部货物均应按标准保护措施进行包装，包装应适应于远距离运输、防潮、防震、防锈和防野蛮装卸等要求，以确保货物安全无损地运抵指定现场。由于包装防护措施不妥而引起的损坏、丢失由乙方负责。</w:t>
      </w:r>
      <w:bookmarkEnd w:id="345"/>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46" w:name="_Toc11246008"/>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4.2 每一个包装箱内应附一份详细装箱单、质量证书和保修保养证书。</w:t>
      </w:r>
      <w:bookmarkEnd w:id="346"/>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47" w:name="_Toc11246009"/>
      <w:bookmarkStart w:id="348" w:name="_Toc427506731"/>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5.运输和保险</w:t>
      </w:r>
      <w:bookmarkEnd w:id="347"/>
      <w:bookmarkEnd w:id="348"/>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49" w:name="_Toc11246010"/>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5.1乙方负责办理将货物运抵本合同第五条规定的交货地点的一切运输事项，相关费用应包括在合同总价中。</w:t>
      </w:r>
      <w:bookmarkEnd w:id="349"/>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50" w:name="_Toc427506732"/>
      <w:bookmarkStart w:id="351" w:name="_Toc11246011"/>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6.备件、专用工具、资料及其他</w:t>
      </w:r>
      <w:bookmarkEnd w:id="350"/>
      <w:bookmarkEnd w:id="351"/>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52" w:name="_Toc11246012"/>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6.1 乙方交货时应向甲方提供货物出厂标准规定的备品备件清单，列出由乙方提供的备品备件。</w:t>
      </w:r>
      <w:bookmarkEnd w:id="352"/>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53" w:name="_Toc11246013"/>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6.2  备品备件应按要求进行包装，以防损坏。</w:t>
      </w:r>
      <w:bookmarkEnd w:id="353"/>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54" w:name="_Toc11246014"/>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6.3 乙方交货时应向甲方提供产品目录、操作手册、使用说明、维护手册或服务指南等相关资料。</w:t>
      </w:r>
      <w:bookmarkEnd w:id="354"/>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55" w:name="_Toc11246015"/>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6.4乙方应保证在货物寿命期内优惠、优先供应甲方所需的备品备件，以保证货物的正常运行。</w:t>
      </w:r>
      <w:bookmarkEnd w:id="355"/>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56" w:name="_Toc11246016"/>
      <w:bookmarkStart w:id="357" w:name="_Toc427506733"/>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7.质量标准和保证</w:t>
      </w:r>
      <w:bookmarkEnd w:id="356"/>
      <w:bookmarkEnd w:id="357"/>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58" w:name="_Toc11246017"/>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7.1 质量标准</w:t>
      </w:r>
      <w:bookmarkEnd w:id="358"/>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59" w:name="_Toc11246018"/>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（1）本合同下交付的货物应符合招标文件中采购需求所述的标准。如果没有提及适用标准，则应符合中华人民共和国有关机构发布的标准。</w:t>
      </w:r>
      <w:bookmarkEnd w:id="359"/>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0" w:name="_Toc11246019"/>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（2）采用中华人民共和国法定计量单位。</w:t>
      </w:r>
      <w:bookmarkEnd w:id="360"/>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1" w:name="_Toc11246020"/>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（3）乙方所出售的货物还应符合国家有关安全、环保、卫生之规定。</w:t>
      </w:r>
      <w:bookmarkEnd w:id="361"/>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2" w:name="_Toc11246021"/>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7.2 保证</w:t>
      </w:r>
      <w:bookmarkEnd w:id="362"/>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3" w:name="_Toc11246022"/>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乙方应保证所供货物是原生产厂家生产的、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原生产厂家规定或乙方承诺（两者以较长的为准）的质量保证期内，本保证保持有效。</w:t>
      </w:r>
      <w:bookmarkEnd w:id="363"/>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4" w:name="_Toc11246023"/>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（2）在质量保证期内所发现的缺陷，甲方应尽快以书面形式通知乙方。</w:t>
      </w:r>
      <w:bookmarkEnd w:id="364"/>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5" w:name="_Toc11246024"/>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（3）乙方收到通知后应在乙方承诺规定的响应时间内以合理的速度免费维修或更换有缺陷的货物或部件。</w:t>
      </w:r>
      <w:bookmarkEnd w:id="365"/>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6" w:name="_Toc11246025"/>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（4）乙方在约定的时间内未能弥补缺陷，甲方可采取必要的补救措施，但其风险和费用将由乙方承担，甲方根据合同规定对乙方行使的其他权利不受影响。</w:t>
      </w:r>
      <w:bookmarkEnd w:id="366"/>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67" w:name="_Toc427506734"/>
      <w:bookmarkStart w:id="368" w:name="_Toc11246026"/>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8.权利瑕疵担保</w:t>
      </w:r>
      <w:bookmarkEnd w:id="367"/>
      <w:bookmarkEnd w:id="368"/>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9" w:name="_Toc11246027"/>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8.1 乙方保证对其出售的货物享有合法的权利。</w:t>
      </w:r>
      <w:bookmarkEnd w:id="369"/>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70" w:name="_Toc11246028"/>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8.2 乙方保证在其出售的货物上不存在任何未曾向甲方透露的担保物权，如抵押权、质押权、留置权等。</w:t>
      </w:r>
      <w:bookmarkEnd w:id="370"/>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71" w:name="_Toc11246029"/>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8.3 如甲方使用该货物构成上述侵权的，则由乙方承担全部责任。</w:t>
      </w:r>
      <w:bookmarkEnd w:id="371"/>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72" w:name="_Toc11246030"/>
      <w:bookmarkStart w:id="373" w:name="_Toc427506735"/>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9.知识产权保护</w:t>
      </w:r>
      <w:bookmarkEnd w:id="372"/>
      <w:bookmarkEnd w:id="373"/>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74" w:name="_Toc11246031"/>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9.1 乙方对其所销售的货物应当享有知识产权或经权利人合法授权，保证没有侵犯任何第三人的知识产权和商业秘密等权利。</w:t>
      </w:r>
      <w:bookmarkEnd w:id="374"/>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75" w:name="_Toc11246032"/>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9.2 甲方使用乙方提供的货物对第三人构成侵权的，应当由乙方承担全部法律责任，给甲方造成损害的，乙方应当承担赔偿责任。</w:t>
      </w:r>
      <w:bookmarkEnd w:id="375"/>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76" w:name="_Toc11246033"/>
      <w:bookmarkStart w:id="377" w:name="_Toc427506736"/>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10.保密义务</w:t>
      </w:r>
      <w:bookmarkEnd w:id="376"/>
      <w:bookmarkEnd w:id="377"/>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78" w:name="_Toc11246034"/>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10.1 甲、乙双方在采购和履行合同过程中所获悉的对方属于保密的内容，甲乙双方均有保密义务。</w:t>
      </w:r>
      <w:bookmarkEnd w:id="378"/>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79" w:name="_Toc427506737"/>
      <w:bookmarkStart w:id="380" w:name="_Toc11246035"/>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11.合同价款支付</w:t>
      </w:r>
      <w:bookmarkEnd w:id="379"/>
      <w:bookmarkEnd w:id="380"/>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81" w:name="_Toc11246036"/>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11.1本合同生效后</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个工作日内，甲方向乙方支付合同总价款的</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%，即人民币：    （小写：</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元）</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w:t>
      </w:r>
      <w:bookmarkEnd w:id="381"/>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82" w:name="_Toc11246037"/>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11.2甲方在支付乙方合同价款前，乙方必须按法律要求提供等额正规合法的税务票据。</w:t>
      </w:r>
      <w:bookmarkEnd w:id="382"/>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11.3乙方向甲方支付合同总价款的3%</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（大写：   ，小写：  元）</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作为项目质量保证金，待验收合格满一年后，一次性退还。</w:t>
      </w:r>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83" w:name="_Toc427506738"/>
      <w:bookmarkStart w:id="384" w:name="_Toc11246038"/>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12.伴随服务</w:t>
      </w:r>
      <w:bookmarkEnd w:id="383"/>
      <w:bookmarkEnd w:id="384"/>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85" w:name="_Toc11246039"/>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12.1 乙方按国家三包政策提供免费质保期服务，质保期以甲方在《交货验收单》上签字之日为起始日，质保期满后如需延长保修时间，双方通过友好协商解决。</w:t>
      </w:r>
      <w:bookmarkEnd w:id="385"/>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86" w:name="_Toc11246040"/>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12.2 乙方提供 72小时技术支持，包括：现场、电话、网络技术支持等。若乙方提供的电话、网络等技术支持不能解决问题时乙方需在2小时内到达现场解决问题。</w:t>
      </w:r>
      <w:bookmarkEnd w:id="386"/>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87" w:name="_Toc11246041"/>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12.3 乙方应向甲方提交所提供货物的技术文件，包括相应的中文技术文件，如：产品目录、操作手册、使用说明、维护手册或服务指南。这些文件应包装好随同货物一起发运。</w:t>
      </w:r>
      <w:bookmarkEnd w:id="387"/>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88" w:name="_Toc11246042"/>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12.4 乙方还应提供下列服务：</w:t>
      </w:r>
      <w:bookmarkEnd w:id="388"/>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89" w:name="_Toc11246043"/>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（1）货物的现场移动、安装、调试、启动监督及技术支持；</w:t>
      </w:r>
      <w:bookmarkEnd w:id="389"/>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90" w:name="_Toc11246044"/>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（2）提供货物组装和维修所需的专用工具和辅助材料；</w:t>
      </w:r>
      <w:bookmarkEnd w:id="390"/>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91" w:name="_Toc11246045"/>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（3）在合同各方商定的一定期限内对所有的货物实施运行监督、维修，但前提条件是该服务并不能免除乙方在质量保证期内所承担的义务；</w:t>
      </w:r>
      <w:bookmarkEnd w:id="391"/>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92" w:name="_Toc11246046"/>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（4）负责就货物的安装、启动、运营、维护对甲方操作人员进行培训，使甲方能够独立胜任日常维护工作，培训场地由甲方提供。</w:t>
      </w:r>
      <w:bookmarkEnd w:id="392"/>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93" w:name="_Toc11246047"/>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12.5 乙方提供的伴随服务的费用应包含在合同价款中，甲方不再另行支付。</w:t>
      </w:r>
      <w:bookmarkEnd w:id="393"/>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13.违约责任</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13.1除发生不可抗力事实外，乙方所交产品与合同标准不相符合的，甲方有权拒收产品，乙方无权请求返还履约保证金；逾期交货将向甲方每日偿付合同总额千分之一的滞纳金。因乙方不能按期交付产品使甲方造成经济损失的应依法赔偿。</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13.2甲方无正当理由拒收产品，甲方向乙方偿付合同款总价百分之五的违约金；逾期支付合同款将向乙方每日偿付欠款总额千分之一的滞纳金。</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13.3甲方有权拒付合同价以外的任何费用；乙方有权拒绝合同整体范围以外的条件。</w:t>
      </w:r>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14.争议解决</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14.1本合同未尽事宜由甲乙双方共同协商解决，可签订补充合同，补充合同与主合同具有同等的法律效力。</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14.2甲乙双方在履行合同过程中发生纠纷，应及时向有关管理部门反映，以便相关部门进行协调或处理；也可以</w:t>
      </w:r>
      <w:bookmarkStart w:id="394" w:name="OLE_LINK1"/>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直接向合同签订地</w:t>
      </w:r>
      <w:bookmarkEnd w:id="394"/>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仲裁机构仲裁。</w:t>
      </w:r>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15</w:t>
      </w:r>
      <w:r>
        <w:rPr>
          <w:rFonts w:hint="eastAsia" w:ascii="方正仿宋简体" w:hAnsi="方正仿宋简体" w:eastAsia="方正仿宋简体" w:cs="方正仿宋简体"/>
          <w:b/>
          <w:bCs/>
          <w:color w:val="000000" w:themeColor="text1"/>
          <w:kern w:val="2"/>
          <w:sz w:val="24"/>
          <w:szCs w:val="24"/>
          <w:u w:val="none"/>
          <w:lang w:val="zh-CN" w:eastAsia="zh-CN" w:bidi="ar-SA"/>
          <w14:textFill>
            <w14:solidFill>
              <w14:schemeClr w14:val="tx1"/>
            </w14:solidFill>
          </w14:textFill>
        </w:rPr>
        <w:t>其他约定</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15.1本合同一式六份，甲乙双方各执二份，采购代理公司执二份。</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15.2本合同自签订之日起生效。</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15.3本合同不可分割之部分：</w:t>
      </w:r>
    </w:p>
    <w:p>
      <w:pPr>
        <w:spacing w:line="588" w:lineRule="exact"/>
        <w:ind w:firstLine="480" w:firstLineChars="200"/>
        <w:jc w:val="both"/>
        <w:rPr>
          <w:rFonts w:ascii="华文中宋" w:hAnsi="华文中宋" w:eastAsia="华文中宋" w:cs="Times New Roman"/>
          <w:szCs w:val="24"/>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（1）招标文件；（2）中标人投标文件；（3）中标通知书。</w:t>
      </w:r>
      <w:bookmarkEnd w:id="325"/>
    </w:p>
    <w:p>
      <w:pPr>
        <w:widowControl/>
        <w:rPr>
          <w:rFonts w:ascii="华文中宋" w:hAnsi="华文中宋" w:eastAsia="华文中宋"/>
          <w:b/>
          <w:bCs/>
          <w:color w:val="000000"/>
          <w:sz w:val="30"/>
        </w:rPr>
      </w:pPr>
      <w:r>
        <w:rPr>
          <w:rFonts w:ascii="华文中宋" w:hAnsi="华文中宋" w:eastAsia="华文中宋"/>
        </w:rPr>
        <w:br w:type="page"/>
      </w:r>
    </w:p>
    <w:p>
      <w:pPr>
        <w:pStyle w:val="3"/>
        <w:spacing w:line="360" w:lineRule="auto"/>
        <w:rPr>
          <w:rFonts w:hint="eastAsia" w:ascii="方正仿宋简体" w:hAnsi="方正仿宋简体" w:eastAsia="方正仿宋简体" w:cs="方正仿宋简体"/>
          <w:b/>
          <w:bCs/>
          <w:color w:val="000000" w:themeColor="text1"/>
          <w:kern w:val="2"/>
          <w:sz w:val="32"/>
          <w:szCs w:val="32"/>
          <w:u w:val="none"/>
          <w:lang w:val="en-US" w:eastAsia="zh-CN" w:bidi="ar-SA"/>
          <w14:textFill>
            <w14:solidFill>
              <w14:schemeClr w14:val="tx1"/>
            </w14:solidFill>
          </w14:textFill>
        </w:rPr>
      </w:pPr>
      <w:bookmarkStart w:id="395" w:name="_Toc30514602"/>
      <w:bookmarkStart w:id="396" w:name="_Toc30599816"/>
      <w:bookmarkStart w:id="397" w:name="_Toc27237"/>
      <w:r>
        <w:rPr>
          <w:rFonts w:hint="eastAsia" w:ascii="方正仿宋简体" w:hAnsi="方正仿宋简体" w:eastAsia="方正仿宋简体" w:cs="方正仿宋简体"/>
          <w:b/>
          <w:bCs/>
          <w:color w:val="000000" w:themeColor="text1"/>
          <w:kern w:val="2"/>
          <w:sz w:val="32"/>
          <w:szCs w:val="32"/>
          <w:u w:val="none"/>
          <w:lang w:val="en-US" w:eastAsia="zh-CN" w:bidi="ar-SA"/>
          <w14:textFill>
            <w14:solidFill>
              <w14:schemeClr w14:val="tx1"/>
            </w14:solidFill>
          </w14:textFill>
        </w:rPr>
        <w:t xml:space="preserve">第六章 </w:t>
      </w:r>
      <w:bookmarkEnd w:id="395"/>
      <w:bookmarkEnd w:id="396"/>
      <w:bookmarkEnd w:id="397"/>
      <w:r>
        <w:rPr>
          <w:rFonts w:hint="eastAsia" w:ascii="方正仿宋简体" w:hAnsi="方正仿宋简体" w:eastAsia="方正仿宋简体" w:cs="方正仿宋简体"/>
          <w:b/>
          <w:bCs/>
          <w:color w:val="000000" w:themeColor="text1"/>
          <w:kern w:val="2"/>
          <w:sz w:val="32"/>
          <w:szCs w:val="32"/>
          <w:u w:val="none"/>
          <w:lang w:val="en-US" w:eastAsia="zh-CN" w:bidi="ar-SA"/>
          <w14:textFill>
            <w14:solidFill>
              <w14:schemeClr w14:val="tx1"/>
            </w14:solidFill>
          </w14:textFill>
        </w:rPr>
        <w:t>采购需求</w:t>
      </w:r>
    </w:p>
    <w:tbl>
      <w:tblPr>
        <w:tblStyle w:val="17"/>
        <w:tblW w:w="0" w:type="auto"/>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213"/>
        <w:gridCol w:w="3762"/>
        <w:gridCol w:w="763"/>
        <w:gridCol w:w="1012"/>
        <w:gridCol w:w="1263"/>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标段</w:t>
            </w:r>
          </w:p>
        </w:tc>
        <w:tc>
          <w:tcPr>
            <w:tcW w:w="121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采购内容</w:t>
            </w:r>
          </w:p>
        </w:tc>
        <w:tc>
          <w:tcPr>
            <w:tcW w:w="3762" w:type="dxa"/>
          </w:tcPr>
          <w:p>
            <w:pPr>
              <w:keepNext w:val="0"/>
              <w:keepLines w:val="0"/>
              <w:pageBreakBefore w:val="0"/>
              <w:kinsoku/>
              <w:wordWrap/>
              <w:overflowPunct/>
              <w:topLinePunct w:val="0"/>
              <w:autoSpaceDE/>
              <w:autoSpaceDN/>
              <w:bidi w:val="0"/>
              <w:adjustRightInd/>
              <w:snapToGrid w:val="0"/>
              <w:spacing w:line="240" w:lineRule="auto"/>
              <w:ind w:firstLine="360" w:firstLineChars="200"/>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技术标准及规格</w:t>
            </w:r>
          </w:p>
        </w:tc>
        <w:tc>
          <w:tcPr>
            <w:tcW w:w="7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单位</w:t>
            </w:r>
          </w:p>
        </w:tc>
        <w:tc>
          <w:tcPr>
            <w:tcW w:w="1012"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采购数量</w:t>
            </w:r>
          </w:p>
        </w:tc>
        <w:tc>
          <w:tcPr>
            <w:tcW w:w="12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采购资金</w:t>
            </w:r>
          </w:p>
        </w:tc>
        <w:tc>
          <w:tcPr>
            <w:tcW w:w="1198" w:type="dxa"/>
          </w:tcPr>
          <w:p>
            <w:pPr>
              <w:keepNext w:val="0"/>
              <w:keepLines w:val="0"/>
              <w:pageBreakBefore w:val="0"/>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供货地点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750" w:type="dxa"/>
            <w:vMerge w:val="restart"/>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A包</w:t>
            </w:r>
          </w:p>
        </w:tc>
        <w:tc>
          <w:tcPr>
            <w:tcW w:w="1213" w:type="dxa"/>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猪口蹄疫O型灭活疫苗</w:t>
            </w:r>
          </w:p>
        </w:tc>
        <w:tc>
          <w:tcPr>
            <w:tcW w:w="3762" w:type="dxa"/>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疫苗含灭活的O型-A型口蹄疫病毒，采用悬浮培养工艺，进口206佐剂生产。成品疫苗稳定性、无菌检验、安全检验、效力检验符合国家标准。规格50ml/瓶或100ml/瓶。</w:t>
            </w:r>
          </w:p>
        </w:tc>
        <w:tc>
          <w:tcPr>
            <w:tcW w:w="7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毫升</w:t>
            </w:r>
          </w:p>
        </w:tc>
        <w:tc>
          <w:tcPr>
            <w:tcW w:w="1012"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440000</w:t>
            </w:r>
          </w:p>
        </w:tc>
        <w:tc>
          <w:tcPr>
            <w:tcW w:w="12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35.20万元</w:t>
            </w:r>
          </w:p>
        </w:tc>
        <w:tc>
          <w:tcPr>
            <w:tcW w:w="1198" w:type="dxa"/>
            <w:vMerge w:val="restart"/>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牟定县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750" w:type="dxa"/>
            <w:vMerge w:val="continue"/>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tc>
        <w:tc>
          <w:tcPr>
            <w:tcW w:w="1213" w:type="dxa"/>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牛羊口蹄疫O型、A型二价灭活疫苗（用于牛羊）</w:t>
            </w:r>
          </w:p>
        </w:tc>
        <w:tc>
          <w:tcPr>
            <w:tcW w:w="3762" w:type="dxa"/>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宋体" w:hAnsi="宋体" w:cs="宋体"/>
                <w:kern w:val="0"/>
                <w:sz w:val="18"/>
                <w:szCs w:val="18"/>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疫苗含灭活的O型-A型口蹄疫病毒，采用悬浮培养工艺，进口206佐剂生产。成品疫苗稳定性、无菌检验、安全检验、效力检验符合国家标准。规格50ml/瓶或100ml/瓶。</w:t>
            </w:r>
          </w:p>
        </w:tc>
        <w:tc>
          <w:tcPr>
            <w:tcW w:w="7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毫升</w:t>
            </w:r>
          </w:p>
        </w:tc>
        <w:tc>
          <w:tcPr>
            <w:tcW w:w="1012"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260000</w:t>
            </w:r>
          </w:p>
        </w:tc>
        <w:tc>
          <w:tcPr>
            <w:tcW w:w="12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26.00万元</w:t>
            </w:r>
          </w:p>
        </w:tc>
        <w:tc>
          <w:tcPr>
            <w:tcW w:w="1198" w:type="dxa"/>
            <w:vMerge w:val="continue"/>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750"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B包</w:t>
            </w:r>
          </w:p>
        </w:tc>
        <w:tc>
          <w:tcPr>
            <w:tcW w:w="121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小反刍兽疫活疫苗及稀释液</w:t>
            </w:r>
          </w:p>
        </w:tc>
        <w:tc>
          <w:tcPr>
            <w:tcW w:w="3762" w:type="dxa"/>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小反刍兽疫弱毒病毒至少为</w:t>
            </w: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object>
                <v:shape id="_x0000_i1025" o:spt="75" type="#_x0000_t75" style="height:16pt;width:24pt;" o:ole="t" filled="f" o:preferrelative="t" stroked="f" coordsize="21600,21600">
                  <v:path/>
                  <v:fill on="f" focussize="0,0"/>
                  <v:stroke on="f"/>
                  <v:imagedata r:id="rId8" o:title=""/>
                  <o:lock v:ext="edit" aspectratio="t"/>
                  <w10:wrap type="none"/>
                  <w10:anchorlock/>
                </v:shape>
                <o:OLEObject Type="Embed" ProgID="Equation.KSEE3" ShapeID="_x0000_i1025" DrawAspect="Content" ObjectID="_1468075725" r:id="rId7">
                  <o:LockedField>false</o:LockedField>
                </o:OLEObject>
              </w:object>
            </w: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object>
                <v:shape id="_x0000_i1026" o:spt="75" type="#_x0000_t75" style="height:18pt;width:31pt;" o:ole="t" filled="f" o:preferrelative="t" stroked="f" coordsize="21600,21600">
                  <v:path/>
                  <v:fill on="f" focussize="0,0"/>
                  <v:stroke on="f"/>
                  <v:imagedata r:id="rId10" o:title=""/>
                  <o:lock v:ext="edit" aspectratio="t"/>
                  <w10:wrap type="none"/>
                  <w10:anchorlock/>
                </v:shape>
                <o:OLEObject Type="Embed" ProgID="Equation.KSEE3" ShapeID="_x0000_i1026" DrawAspect="Content" ObjectID="_1468075726" r:id="rId9">
                  <o:LockedField>false</o:LockedField>
                </o:OLEObject>
              </w:object>
            </w: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／头份。成品疫苗稳定性、无菌检验、安全检验、效力检验符合国家标准。规格100头份/瓶。</w:t>
            </w:r>
          </w:p>
        </w:tc>
        <w:tc>
          <w:tcPr>
            <w:tcW w:w="7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头份</w:t>
            </w:r>
          </w:p>
        </w:tc>
        <w:tc>
          <w:tcPr>
            <w:tcW w:w="1012"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140000</w:t>
            </w:r>
          </w:p>
        </w:tc>
        <w:tc>
          <w:tcPr>
            <w:tcW w:w="12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5.60万元</w:t>
            </w:r>
          </w:p>
        </w:tc>
        <w:tc>
          <w:tcPr>
            <w:tcW w:w="1198"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牟定县</w:t>
            </w:r>
          </w:p>
        </w:tc>
      </w:tr>
    </w:tbl>
    <w:p>
      <w:pPr>
        <w:spacing w:line="240" w:lineRule="auto"/>
        <w:jc w:val="both"/>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t>注：</w:t>
      </w:r>
      <w:r>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tab/>
      </w:r>
    </w:p>
    <w:p>
      <w:pPr>
        <w:numPr>
          <w:ilvl w:val="0"/>
          <w:numId w:val="3"/>
        </w:numPr>
        <w:spacing w:line="300" w:lineRule="atLeast"/>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t>本一览表中的各项技术参数和规格要求如出现引用某一特定的专利技术、商标、名称、设计、原产地或供应者等情况，则仅起参考作用。投标人可选用实质上“相当于”或“优于”该参考技术规格要求的产品投标。</w:t>
      </w:r>
    </w:p>
    <w:p>
      <w:pPr>
        <w:numPr>
          <w:ilvl w:val="0"/>
          <w:numId w:val="3"/>
        </w:numPr>
        <w:spacing w:line="300" w:lineRule="atLeast"/>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t>中标人提供的疫苗中，在七个乡镇采集血清到牟定县动物疫病预防控制中心兽医实验室开展免疫效果监测，如出现疫苗质量问题，中标人应承担全部经济损失。</w:t>
      </w:r>
    </w:p>
    <w:p>
      <w:pPr>
        <w:numPr>
          <w:ilvl w:val="0"/>
          <w:numId w:val="3"/>
        </w:numPr>
        <w:spacing w:line="300" w:lineRule="atLeast"/>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t>中标人对招标人提供中标价8%的畜禽死亡赔偿和副反应治疗处置费用。出现大面积副反应，应在24小时内派专业技术人员抵达现场开展调查，对事故责任进行分析，经双方确认为疫苗质量引发的副反应死亡的，应当对养殖场（户）进行全部畜禽死亡赔偿和提供副反应治疗处置费用。</w:t>
      </w:r>
    </w:p>
    <w:p>
      <w:pPr>
        <w:numPr>
          <w:ilvl w:val="0"/>
          <w:numId w:val="0"/>
        </w:numPr>
        <w:spacing w:line="300" w:lineRule="atLeast"/>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pPr>
    </w:p>
    <w:sectPr>
      <w:footerReference r:id="rId3" w:type="default"/>
      <w:pgSz w:w="12240" w:h="15840"/>
      <w:pgMar w:top="960" w:right="1080" w:bottom="1440" w:left="1560" w:header="720" w:footer="720"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华文宋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A749C6"/>
    <w:multiLevelType w:val="singleLevel"/>
    <w:tmpl w:val="F5A749C6"/>
    <w:lvl w:ilvl="0" w:tentative="0">
      <w:start w:val="2"/>
      <w:numFmt w:val="decimal"/>
      <w:lvlText w:val="%1."/>
      <w:lvlJc w:val="left"/>
      <w:pPr>
        <w:tabs>
          <w:tab w:val="left" w:pos="312"/>
        </w:tabs>
      </w:pPr>
    </w:lvl>
  </w:abstractNum>
  <w:abstractNum w:abstractNumId="1">
    <w:nsid w:val="21210873"/>
    <w:multiLevelType w:val="singleLevel"/>
    <w:tmpl w:val="21210873"/>
    <w:lvl w:ilvl="0" w:tentative="0">
      <w:start w:val="1"/>
      <w:numFmt w:val="decimal"/>
      <w:suff w:val="nothing"/>
      <w:lvlText w:val="%1、"/>
      <w:lvlJc w:val="left"/>
    </w:lvl>
  </w:abstractNum>
  <w:abstractNum w:abstractNumId="2">
    <w:nsid w:val="39DE047B"/>
    <w:multiLevelType w:val="singleLevel"/>
    <w:tmpl w:val="39DE047B"/>
    <w:lvl w:ilvl="0" w:tentative="0">
      <w:start w:val="4"/>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09"/>
    <w:rsid w:val="000039B0"/>
    <w:rsid w:val="00004FE6"/>
    <w:rsid w:val="000056C9"/>
    <w:rsid w:val="00005894"/>
    <w:rsid w:val="000076BA"/>
    <w:rsid w:val="0001063F"/>
    <w:rsid w:val="00017B07"/>
    <w:rsid w:val="000200FC"/>
    <w:rsid w:val="00025508"/>
    <w:rsid w:val="00026138"/>
    <w:rsid w:val="00027FC3"/>
    <w:rsid w:val="00045C7A"/>
    <w:rsid w:val="00047104"/>
    <w:rsid w:val="00061E75"/>
    <w:rsid w:val="00062959"/>
    <w:rsid w:val="00064524"/>
    <w:rsid w:val="00065184"/>
    <w:rsid w:val="000674AF"/>
    <w:rsid w:val="00070893"/>
    <w:rsid w:val="00077B90"/>
    <w:rsid w:val="00082966"/>
    <w:rsid w:val="00085597"/>
    <w:rsid w:val="000900E3"/>
    <w:rsid w:val="00091654"/>
    <w:rsid w:val="00091735"/>
    <w:rsid w:val="00091BD6"/>
    <w:rsid w:val="00095A6D"/>
    <w:rsid w:val="000A2B1D"/>
    <w:rsid w:val="000A3251"/>
    <w:rsid w:val="000B5E28"/>
    <w:rsid w:val="000C080A"/>
    <w:rsid w:val="000C23F3"/>
    <w:rsid w:val="000C3F4C"/>
    <w:rsid w:val="000C559F"/>
    <w:rsid w:val="000D6960"/>
    <w:rsid w:val="000D7C66"/>
    <w:rsid w:val="000E0843"/>
    <w:rsid w:val="000E787E"/>
    <w:rsid w:val="000F21F7"/>
    <w:rsid w:val="000F4C38"/>
    <w:rsid w:val="000F64C7"/>
    <w:rsid w:val="000F7ABA"/>
    <w:rsid w:val="00102377"/>
    <w:rsid w:val="00107660"/>
    <w:rsid w:val="001104B4"/>
    <w:rsid w:val="00110CDB"/>
    <w:rsid w:val="001135A5"/>
    <w:rsid w:val="00114F62"/>
    <w:rsid w:val="00120B5A"/>
    <w:rsid w:val="00120D9B"/>
    <w:rsid w:val="00121E85"/>
    <w:rsid w:val="001226D5"/>
    <w:rsid w:val="00127F43"/>
    <w:rsid w:val="00130931"/>
    <w:rsid w:val="001313B2"/>
    <w:rsid w:val="00131CED"/>
    <w:rsid w:val="00131ECD"/>
    <w:rsid w:val="00142315"/>
    <w:rsid w:val="001464F0"/>
    <w:rsid w:val="001522FD"/>
    <w:rsid w:val="00152AD5"/>
    <w:rsid w:val="00161229"/>
    <w:rsid w:val="001669C5"/>
    <w:rsid w:val="00167207"/>
    <w:rsid w:val="001674AD"/>
    <w:rsid w:val="00167899"/>
    <w:rsid w:val="0017200E"/>
    <w:rsid w:val="0017761E"/>
    <w:rsid w:val="00177CE2"/>
    <w:rsid w:val="00182C4D"/>
    <w:rsid w:val="0018486C"/>
    <w:rsid w:val="00192646"/>
    <w:rsid w:val="001974A9"/>
    <w:rsid w:val="001978D1"/>
    <w:rsid w:val="001A5C72"/>
    <w:rsid w:val="001B0BC1"/>
    <w:rsid w:val="001B0CED"/>
    <w:rsid w:val="001B2D47"/>
    <w:rsid w:val="001C0214"/>
    <w:rsid w:val="001C0246"/>
    <w:rsid w:val="001C3734"/>
    <w:rsid w:val="001D332F"/>
    <w:rsid w:val="001E3BF3"/>
    <w:rsid w:val="001E4135"/>
    <w:rsid w:val="001E431D"/>
    <w:rsid w:val="001F0FAA"/>
    <w:rsid w:val="001F1B20"/>
    <w:rsid w:val="001F2B19"/>
    <w:rsid w:val="001F4B06"/>
    <w:rsid w:val="00200FFE"/>
    <w:rsid w:val="00204CB3"/>
    <w:rsid w:val="0022265F"/>
    <w:rsid w:val="002262AC"/>
    <w:rsid w:val="0023105A"/>
    <w:rsid w:val="0023203E"/>
    <w:rsid w:val="00232478"/>
    <w:rsid w:val="00233285"/>
    <w:rsid w:val="002375AB"/>
    <w:rsid w:val="00241DD6"/>
    <w:rsid w:val="00243421"/>
    <w:rsid w:val="00244749"/>
    <w:rsid w:val="00250D52"/>
    <w:rsid w:val="00262A2A"/>
    <w:rsid w:val="00267FAF"/>
    <w:rsid w:val="00271735"/>
    <w:rsid w:val="00271757"/>
    <w:rsid w:val="00272ABC"/>
    <w:rsid w:val="00272B09"/>
    <w:rsid w:val="00275B98"/>
    <w:rsid w:val="0028023A"/>
    <w:rsid w:val="002813A5"/>
    <w:rsid w:val="00287B32"/>
    <w:rsid w:val="002972D6"/>
    <w:rsid w:val="002A10B4"/>
    <w:rsid w:val="002A4F48"/>
    <w:rsid w:val="002A7F45"/>
    <w:rsid w:val="002B0CFF"/>
    <w:rsid w:val="002B48DD"/>
    <w:rsid w:val="002C0E9B"/>
    <w:rsid w:val="002C339E"/>
    <w:rsid w:val="002C4574"/>
    <w:rsid w:val="002C5DDA"/>
    <w:rsid w:val="002C6205"/>
    <w:rsid w:val="002D128D"/>
    <w:rsid w:val="002D3D5A"/>
    <w:rsid w:val="002E0B60"/>
    <w:rsid w:val="002E11C4"/>
    <w:rsid w:val="002E446B"/>
    <w:rsid w:val="002E4E72"/>
    <w:rsid w:val="002E5BBC"/>
    <w:rsid w:val="002F2EB3"/>
    <w:rsid w:val="002F3258"/>
    <w:rsid w:val="002F66EC"/>
    <w:rsid w:val="002F7BD4"/>
    <w:rsid w:val="00305B0F"/>
    <w:rsid w:val="003105B5"/>
    <w:rsid w:val="00314C74"/>
    <w:rsid w:val="00327614"/>
    <w:rsid w:val="00330F73"/>
    <w:rsid w:val="00331788"/>
    <w:rsid w:val="00333B24"/>
    <w:rsid w:val="003354B1"/>
    <w:rsid w:val="00343C71"/>
    <w:rsid w:val="003468FA"/>
    <w:rsid w:val="00346BA3"/>
    <w:rsid w:val="00347DF0"/>
    <w:rsid w:val="003517D1"/>
    <w:rsid w:val="003529FA"/>
    <w:rsid w:val="00357D05"/>
    <w:rsid w:val="003604BC"/>
    <w:rsid w:val="00366881"/>
    <w:rsid w:val="00367C04"/>
    <w:rsid w:val="00376881"/>
    <w:rsid w:val="00380AD6"/>
    <w:rsid w:val="00383727"/>
    <w:rsid w:val="00384933"/>
    <w:rsid w:val="00385C32"/>
    <w:rsid w:val="0039322B"/>
    <w:rsid w:val="003A06CE"/>
    <w:rsid w:val="003A13F1"/>
    <w:rsid w:val="003A1D53"/>
    <w:rsid w:val="003A4B73"/>
    <w:rsid w:val="003A5091"/>
    <w:rsid w:val="003B152D"/>
    <w:rsid w:val="003B6FDF"/>
    <w:rsid w:val="003C32DC"/>
    <w:rsid w:val="003C579A"/>
    <w:rsid w:val="003D0425"/>
    <w:rsid w:val="003D4DD4"/>
    <w:rsid w:val="003D5775"/>
    <w:rsid w:val="003D688C"/>
    <w:rsid w:val="003E0629"/>
    <w:rsid w:val="003E2FBA"/>
    <w:rsid w:val="003E3DDC"/>
    <w:rsid w:val="003E6E84"/>
    <w:rsid w:val="003E77EE"/>
    <w:rsid w:val="003E7CA6"/>
    <w:rsid w:val="003F0D03"/>
    <w:rsid w:val="003F34DF"/>
    <w:rsid w:val="00402937"/>
    <w:rsid w:val="004114CA"/>
    <w:rsid w:val="00415987"/>
    <w:rsid w:val="00417E21"/>
    <w:rsid w:val="00420F89"/>
    <w:rsid w:val="00422056"/>
    <w:rsid w:val="00424D1B"/>
    <w:rsid w:val="00425B81"/>
    <w:rsid w:val="004275B2"/>
    <w:rsid w:val="00431638"/>
    <w:rsid w:val="00433B47"/>
    <w:rsid w:val="00434323"/>
    <w:rsid w:val="004372A4"/>
    <w:rsid w:val="00440C8F"/>
    <w:rsid w:val="00442479"/>
    <w:rsid w:val="00446A2E"/>
    <w:rsid w:val="00446DCB"/>
    <w:rsid w:val="00446EF0"/>
    <w:rsid w:val="004502E9"/>
    <w:rsid w:val="00450C71"/>
    <w:rsid w:val="004513E5"/>
    <w:rsid w:val="00453314"/>
    <w:rsid w:val="00457925"/>
    <w:rsid w:val="0047073D"/>
    <w:rsid w:val="0049542B"/>
    <w:rsid w:val="004A3564"/>
    <w:rsid w:val="004A36C1"/>
    <w:rsid w:val="004A5738"/>
    <w:rsid w:val="004B0EDF"/>
    <w:rsid w:val="004B1A2B"/>
    <w:rsid w:val="004B39AE"/>
    <w:rsid w:val="004B7B05"/>
    <w:rsid w:val="004C1F0C"/>
    <w:rsid w:val="004C40D7"/>
    <w:rsid w:val="004C580D"/>
    <w:rsid w:val="004C592E"/>
    <w:rsid w:val="004C5A82"/>
    <w:rsid w:val="004C7A81"/>
    <w:rsid w:val="004E24CE"/>
    <w:rsid w:val="004E2656"/>
    <w:rsid w:val="004E5516"/>
    <w:rsid w:val="004E68A5"/>
    <w:rsid w:val="004E6CC9"/>
    <w:rsid w:val="004F125B"/>
    <w:rsid w:val="004F1756"/>
    <w:rsid w:val="004F3B42"/>
    <w:rsid w:val="004F5DC3"/>
    <w:rsid w:val="004F64C5"/>
    <w:rsid w:val="00500479"/>
    <w:rsid w:val="00502A11"/>
    <w:rsid w:val="00505078"/>
    <w:rsid w:val="005069DF"/>
    <w:rsid w:val="005243CB"/>
    <w:rsid w:val="005258C3"/>
    <w:rsid w:val="005269F6"/>
    <w:rsid w:val="00526ADA"/>
    <w:rsid w:val="005452E1"/>
    <w:rsid w:val="00547055"/>
    <w:rsid w:val="00554DDA"/>
    <w:rsid w:val="00557925"/>
    <w:rsid w:val="005647CA"/>
    <w:rsid w:val="00567566"/>
    <w:rsid w:val="005719CB"/>
    <w:rsid w:val="00573627"/>
    <w:rsid w:val="00595D0E"/>
    <w:rsid w:val="00596D77"/>
    <w:rsid w:val="005979A1"/>
    <w:rsid w:val="005A1743"/>
    <w:rsid w:val="005A3A4F"/>
    <w:rsid w:val="005A54D3"/>
    <w:rsid w:val="005A6C6D"/>
    <w:rsid w:val="005A7556"/>
    <w:rsid w:val="005A7B5F"/>
    <w:rsid w:val="005B537D"/>
    <w:rsid w:val="005B75C6"/>
    <w:rsid w:val="005C01BF"/>
    <w:rsid w:val="005C235A"/>
    <w:rsid w:val="005C3007"/>
    <w:rsid w:val="005C5A45"/>
    <w:rsid w:val="005D25A7"/>
    <w:rsid w:val="005E20A9"/>
    <w:rsid w:val="005E28A8"/>
    <w:rsid w:val="005E60AC"/>
    <w:rsid w:val="005F0FF4"/>
    <w:rsid w:val="005F1FD1"/>
    <w:rsid w:val="005F7C77"/>
    <w:rsid w:val="006053B5"/>
    <w:rsid w:val="00605AEB"/>
    <w:rsid w:val="0060659E"/>
    <w:rsid w:val="00610065"/>
    <w:rsid w:val="00613307"/>
    <w:rsid w:val="00614249"/>
    <w:rsid w:val="00614CC5"/>
    <w:rsid w:val="0061529F"/>
    <w:rsid w:val="006153C1"/>
    <w:rsid w:val="0061626B"/>
    <w:rsid w:val="00623885"/>
    <w:rsid w:val="006278EC"/>
    <w:rsid w:val="00631C0E"/>
    <w:rsid w:val="00636850"/>
    <w:rsid w:val="006369D8"/>
    <w:rsid w:val="006370AE"/>
    <w:rsid w:val="006376E5"/>
    <w:rsid w:val="00642269"/>
    <w:rsid w:val="00642445"/>
    <w:rsid w:val="00650F8B"/>
    <w:rsid w:val="00651560"/>
    <w:rsid w:val="00661802"/>
    <w:rsid w:val="00667B4C"/>
    <w:rsid w:val="006714D0"/>
    <w:rsid w:val="0069597C"/>
    <w:rsid w:val="0069741C"/>
    <w:rsid w:val="006A133A"/>
    <w:rsid w:val="006A4EA9"/>
    <w:rsid w:val="006A6BED"/>
    <w:rsid w:val="006B20D4"/>
    <w:rsid w:val="006B38FC"/>
    <w:rsid w:val="006B609B"/>
    <w:rsid w:val="006C3452"/>
    <w:rsid w:val="006C6C1B"/>
    <w:rsid w:val="006D088F"/>
    <w:rsid w:val="006D3AA1"/>
    <w:rsid w:val="006D4437"/>
    <w:rsid w:val="006D777E"/>
    <w:rsid w:val="006E0A66"/>
    <w:rsid w:val="006E1B2A"/>
    <w:rsid w:val="006E2659"/>
    <w:rsid w:val="006F2A88"/>
    <w:rsid w:val="006F51DD"/>
    <w:rsid w:val="006F6209"/>
    <w:rsid w:val="006F798D"/>
    <w:rsid w:val="00703A07"/>
    <w:rsid w:val="00704C04"/>
    <w:rsid w:val="00726493"/>
    <w:rsid w:val="00731A0B"/>
    <w:rsid w:val="007339E9"/>
    <w:rsid w:val="00741BB6"/>
    <w:rsid w:val="00744A22"/>
    <w:rsid w:val="00745B71"/>
    <w:rsid w:val="007501D6"/>
    <w:rsid w:val="00751576"/>
    <w:rsid w:val="007611ED"/>
    <w:rsid w:val="00764704"/>
    <w:rsid w:val="0076795D"/>
    <w:rsid w:val="0078203E"/>
    <w:rsid w:val="0079283F"/>
    <w:rsid w:val="00794696"/>
    <w:rsid w:val="007A61AF"/>
    <w:rsid w:val="007A77D4"/>
    <w:rsid w:val="007B5E73"/>
    <w:rsid w:val="007D0164"/>
    <w:rsid w:val="007D301C"/>
    <w:rsid w:val="007D3B9C"/>
    <w:rsid w:val="007D3D82"/>
    <w:rsid w:val="007D46A7"/>
    <w:rsid w:val="007D4871"/>
    <w:rsid w:val="007D4F26"/>
    <w:rsid w:val="007D61E4"/>
    <w:rsid w:val="007E0E15"/>
    <w:rsid w:val="007E2FF9"/>
    <w:rsid w:val="007E3A7C"/>
    <w:rsid w:val="007E452F"/>
    <w:rsid w:val="007E5F0B"/>
    <w:rsid w:val="007E7000"/>
    <w:rsid w:val="007E74E7"/>
    <w:rsid w:val="007E7947"/>
    <w:rsid w:val="007F00A0"/>
    <w:rsid w:val="007F1F8D"/>
    <w:rsid w:val="007F2327"/>
    <w:rsid w:val="007F322E"/>
    <w:rsid w:val="007F405D"/>
    <w:rsid w:val="007F73F6"/>
    <w:rsid w:val="007F7966"/>
    <w:rsid w:val="0080250B"/>
    <w:rsid w:val="0081229D"/>
    <w:rsid w:val="00812BB7"/>
    <w:rsid w:val="00813527"/>
    <w:rsid w:val="00813E50"/>
    <w:rsid w:val="0081598E"/>
    <w:rsid w:val="008166B0"/>
    <w:rsid w:val="008173A3"/>
    <w:rsid w:val="0082012F"/>
    <w:rsid w:val="00822BBD"/>
    <w:rsid w:val="008339A3"/>
    <w:rsid w:val="008350CD"/>
    <w:rsid w:val="0084093C"/>
    <w:rsid w:val="00842EC9"/>
    <w:rsid w:val="00854749"/>
    <w:rsid w:val="0085495C"/>
    <w:rsid w:val="008726F7"/>
    <w:rsid w:val="00873015"/>
    <w:rsid w:val="00875747"/>
    <w:rsid w:val="00877243"/>
    <w:rsid w:val="00880F9C"/>
    <w:rsid w:val="00884113"/>
    <w:rsid w:val="00884E2C"/>
    <w:rsid w:val="00890417"/>
    <w:rsid w:val="00891236"/>
    <w:rsid w:val="008926B0"/>
    <w:rsid w:val="008950E0"/>
    <w:rsid w:val="00895BF6"/>
    <w:rsid w:val="0089698E"/>
    <w:rsid w:val="008A2720"/>
    <w:rsid w:val="008A2EAA"/>
    <w:rsid w:val="008A34B0"/>
    <w:rsid w:val="008A7304"/>
    <w:rsid w:val="008B04D4"/>
    <w:rsid w:val="008B0D4D"/>
    <w:rsid w:val="008B4505"/>
    <w:rsid w:val="008C04C6"/>
    <w:rsid w:val="008C4DC9"/>
    <w:rsid w:val="008D04FA"/>
    <w:rsid w:val="008D0BD5"/>
    <w:rsid w:val="008D23C2"/>
    <w:rsid w:val="008D3D77"/>
    <w:rsid w:val="008D4154"/>
    <w:rsid w:val="008D5977"/>
    <w:rsid w:val="008E2BB6"/>
    <w:rsid w:val="008E46B0"/>
    <w:rsid w:val="008E5616"/>
    <w:rsid w:val="008F0D3F"/>
    <w:rsid w:val="008F2BEE"/>
    <w:rsid w:val="008F5C05"/>
    <w:rsid w:val="008F66C9"/>
    <w:rsid w:val="008F76B5"/>
    <w:rsid w:val="008F78FF"/>
    <w:rsid w:val="00900606"/>
    <w:rsid w:val="00902CB8"/>
    <w:rsid w:val="00907A2D"/>
    <w:rsid w:val="009107E1"/>
    <w:rsid w:val="00916A8F"/>
    <w:rsid w:val="009172E7"/>
    <w:rsid w:val="009215F7"/>
    <w:rsid w:val="00923B78"/>
    <w:rsid w:val="00925500"/>
    <w:rsid w:val="0092726D"/>
    <w:rsid w:val="009316D9"/>
    <w:rsid w:val="0093762F"/>
    <w:rsid w:val="00940E42"/>
    <w:rsid w:val="00945163"/>
    <w:rsid w:val="00945E66"/>
    <w:rsid w:val="0095309F"/>
    <w:rsid w:val="009545AC"/>
    <w:rsid w:val="00955D72"/>
    <w:rsid w:val="009569C5"/>
    <w:rsid w:val="0096524B"/>
    <w:rsid w:val="009749F5"/>
    <w:rsid w:val="00984CF1"/>
    <w:rsid w:val="00987BB7"/>
    <w:rsid w:val="00993603"/>
    <w:rsid w:val="009B0DD7"/>
    <w:rsid w:val="009B2F1D"/>
    <w:rsid w:val="009B5869"/>
    <w:rsid w:val="009B6A7B"/>
    <w:rsid w:val="009B77E5"/>
    <w:rsid w:val="009D763A"/>
    <w:rsid w:val="009E2C52"/>
    <w:rsid w:val="009E35E2"/>
    <w:rsid w:val="009F27CE"/>
    <w:rsid w:val="009F6CEF"/>
    <w:rsid w:val="00A015B4"/>
    <w:rsid w:val="00A04EE4"/>
    <w:rsid w:val="00A068B8"/>
    <w:rsid w:val="00A104ED"/>
    <w:rsid w:val="00A12420"/>
    <w:rsid w:val="00A16013"/>
    <w:rsid w:val="00A17484"/>
    <w:rsid w:val="00A22EF0"/>
    <w:rsid w:val="00A36A1F"/>
    <w:rsid w:val="00A41EAD"/>
    <w:rsid w:val="00A42D26"/>
    <w:rsid w:val="00A5551B"/>
    <w:rsid w:val="00A60C05"/>
    <w:rsid w:val="00A62147"/>
    <w:rsid w:val="00A65853"/>
    <w:rsid w:val="00A6643B"/>
    <w:rsid w:val="00A6727A"/>
    <w:rsid w:val="00A72D89"/>
    <w:rsid w:val="00A733D5"/>
    <w:rsid w:val="00A757B8"/>
    <w:rsid w:val="00A76A71"/>
    <w:rsid w:val="00A77CC6"/>
    <w:rsid w:val="00A90332"/>
    <w:rsid w:val="00A954C2"/>
    <w:rsid w:val="00AA2A41"/>
    <w:rsid w:val="00AA349E"/>
    <w:rsid w:val="00AA508E"/>
    <w:rsid w:val="00AA73FD"/>
    <w:rsid w:val="00AA7857"/>
    <w:rsid w:val="00AB3FDE"/>
    <w:rsid w:val="00AB5B39"/>
    <w:rsid w:val="00AC17E5"/>
    <w:rsid w:val="00AC46F3"/>
    <w:rsid w:val="00AD1609"/>
    <w:rsid w:val="00AD3648"/>
    <w:rsid w:val="00AD38E5"/>
    <w:rsid w:val="00AD3947"/>
    <w:rsid w:val="00AD5A01"/>
    <w:rsid w:val="00AE27F2"/>
    <w:rsid w:val="00AF07C0"/>
    <w:rsid w:val="00AF23D5"/>
    <w:rsid w:val="00AF3667"/>
    <w:rsid w:val="00AF608C"/>
    <w:rsid w:val="00AF6580"/>
    <w:rsid w:val="00B00B8C"/>
    <w:rsid w:val="00B021E7"/>
    <w:rsid w:val="00B070B8"/>
    <w:rsid w:val="00B10526"/>
    <w:rsid w:val="00B11654"/>
    <w:rsid w:val="00B119BE"/>
    <w:rsid w:val="00B1231E"/>
    <w:rsid w:val="00B16F37"/>
    <w:rsid w:val="00B20E8D"/>
    <w:rsid w:val="00B265B9"/>
    <w:rsid w:val="00B359E2"/>
    <w:rsid w:val="00B36622"/>
    <w:rsid w:val="00B51279"/>
    <w:rsid w:val="00B537B3"/>
    <w:rsid w:val="00B54453"/>
    <w:rsid w:val="00B5689E"/>
    <w:rsid w:val="00B574DC"/>
    <w:rsid w:val="00B63855"/>
    <w:rsid w:val="00B73E62"/>
    <w:rsid w:val="00B746CE"/>
    <w:rsid w:val="00B82279"/>
    <w:rsid w:val="00B8669B"/>
    <w:rsid w:val="00B8689C"/>
    <w:rsid w:val="00B873AC"/>
    <w:rsid w:val="00B97597"/>
    <w:rsid w:val="00BA1CA6"/>
    <w:rsid w:val="00BA264E"/>
    <w:rsid w:val="00BA45F5"/>
    <w:rsid w:val="00BA52FE"/>
    <w:rsid w:val="00BA5571"/>
    <w:rsid w:val="00BA6BEB"/>
    <w:rsid w:val="00BB2A48"/>
    <w:rsid w:val="00BB38B5"/>
    <w:rsid w:val="00BC01F4"/>
    <w:rsid w:val="00BC07B3"/>
    <w:rsid w:val="00BC146D"/>
    <w:rsid w:val="00BC1E87"/>
    <w:rsid w:val="00BC374A"/>
    <w:rsid w:val="00BC44F5"/>
    <w:rsid w:val="00BD514C"/>
    <w:rsid w:val="00BE25A2"/>
    <w:rsid w:val="00BE41C9"/>
    <w:rsid w:val="00BF30B7"/>
    <w:rsid w:val="00BF53F7"/>
    <w:rsid w:val="00BF667F"/>
    <w:rsid w:val="00C01924"/>
    <w:rsid w:val="00C052B3"/>
    <w:rsid w:val="00C05F12"/>
    <w:rsid w:val="00C11496"/>
    <w:rsid w:val="00C20D7F"/>
    <w:rsid w:val="00C25322"/>
    <w:rsid w:val="00C332E1"/>
    <w:rsid w:val="00C36A55"/>
    <w:rsid w:val="00C430B0"/>
    <w:rsid w:val="00C460C6"/>
    <w:rsid w:val="00C550A2"/>
    <w:rsid w:val="00C70D98"/>
    <w:rsid w:val="00C72721"/>
    <w:rsid w:val="00C72B4B"/>
    <w:rsid w:val="00C76524"/>
    <w:rsid w:val="00C81A8A"/>
    <w:rsid w:val="00C843FA"/>
    <w:rsid w:val="00C91AD5"/>
    <w:rsid w:val="00C92498"/>
    <w:rsid w:val="00C931BF"/>
    <w:rsid w:val="00C972A2"/>
    <w:rsid w:val="00CA0E9F"/>
    <w:rsid w:val="00CA36C5"/>
    <w:rsid w:val="00CB0907"/>
    <w:rsid w:val="00CB3A86"/>
    <w:rsid w:val="00CB463B"/>
    <w:rsid w:val="00CB7506"/>
    <w:rsid w:val="00CC1975"/>
    <w:rsid w:val="00CC2402"/>
    <w:rsid w:val="00CD3070"/>
    <w:rsid w:val="00CD4FF4"/>
    <w:rsid w:val="00CD5A7A"/>
    <w:rsid w:val="00CF30A9"/>
    <w:rsid w:val="00D03B89"/>
    <w:rsid w:val="00D03ED2"/>
    <w:rsid w:val="00D10E2E"/>
    <w:rsid w:val="00D10E79"/>
    <w:rsid w:val="00D118C6"/>
    <w:rsid w:val="00D132BC"/>
    <w:rsid w:val="00D21B8C"/>
    <w:rsid w:val="00D24E5C"/>
    <w:rsid w:val="00D308DF"/>
    <w:rsid w:val="00D33F22"/>
    <w:rsid w:val="00D36FF8"/>
    <w:rsid w:val="00D5552F"/>
    <w:rsid w:val="00D57FC2"/>
    <w:rsid w:val="00D61FD1"/>
    <w:rsid w:val="00D644F1"/>
    <w:rsid w:val="00D715EB"/>
    <w:rsid w:val="00D740E6"/>
    <w:rsid w:val="00D76587"/>
    <w:rsid w:val="00D80630"/>
    <w:rsid w:val="00D80F31"/>
    <w:rsid w:val="00D81D69"/>
    <w:rsid w:val="00D82C4D"/>
    <w:rsid w:val="00D84B16"/>
    <w:rsid w:val="00D877EB"/>
    <w:rsid w:val="00D94509"/>
    <w:rsid w:val="00DA0462"/>
    <w:rsid w:val="00DA14E1"/>
    <w:rsid w:val="00DA2A6B"/>
    <w:rsid w:val="00DB3205"/>
    <w:rsid w:val="00DB3C98"/>
    <w:rsid w:val="00DB6724"/>
    <w:rsid w:val="00DB78AD"/>
    <w:rsid w:val="00DC3E97"/>
    <w:rsid w:val="00DC607F"/>
    <w:rsid w:val="00DC7AFF"/>
    <w:rsid w:val="00DC7F55"/>
    <w:rsid w:val="00DD179E"/>
    <w:rsid w:val="00DD3E33"/>
    <w:rsid w:val="00DD4D29"/>
    <w:rsid w:val="00DD63BA"/>
    <w:rsid w:val="00DE169B"/>
    <w:rsid w:val="00DE31E1"/>
    <w:rsid w:val="00DE730C"/>
    <w:rsid w:val="00DF1C0F"/>
    <w:rsid w:val="00DF408E"/>
    <w:rsid w:val="00DF71B3"/>
    <w:rsid w:val="00DF7610"/>
    <w:rsid w:val="00DF7933"/>
    <w:rsid w:val="00E01C3C"/>
    <w:rsid w:val="00E04B1F"/>
    <w:rsid w:val="00E1133F"/>
    <w:rsid w:val="00E12E53"/>
    <w:rsid w:val="00E14B2A"/>
    <w:rsid w:val="00E20AAB"/>
    <w:rsid w:val="00E23D7A"/>
    <w:rsid w:val="00E25A1A"/>
    <w:rsid w:val="00E267C0"/>
    <w:rsid w:val="00E30711"/>
    <w:rsid w:val="00E32669"/>
    <w:rsid w:val="00E44848"/>
    <w:rsid w:val="00E5026C"/>
    <w:rsid w:val="00E50C6D"/>
    <w:rsid w:val="00E567CD"/>
    <w:rsid w:val="00E61928"/>
    <w:rsid w:val="00E62637"/>
    <w:rsid w:val="00E62799"/>
    <w:rsid w:val="00E62DB7"/>
    <w:rsid w:val="00E64B72"/>
    <w:rsid w:val="00E6560B"/>
    <w:rsid w:val="00E72CFD"/>
    <w:rsid w:val="00E73CDF"/>
    <w:rsid w:val="00E73F48"/>
    <w:rsid w:val="00E7677F"/>
    <w:rsid w:val="00E76D49"/>
    <w:rsid w:val="00E83839"/>
    <w:rsid w:val="00E85388"/>
    <w:rsid w:val="00E85EB1"/>
    <w:rsid w:val="00E97058"/>
    <w:rsid w:val="00EA0CC7"/>
    <w:rsid w:val="00EA36E4"/>
    <w:rsid w:val="00EA3EAC"/>
    <w:rsid w:val="00EA49A1"/>
    <w:rsid w:val="00EA599F"/>
    <w:rsid w:val="00EA7541"/>
    <w:rsid w:val="00EB61EC"/>
    <w:rsid w:val="00EC0875"/>
    <w:rsid w:val="00EC180C"/>
    <w:rsid w:val="00EC2AD9"/>
    <w:rsid w:val="00EC7DB5"/>
    <w:rsid w:val="00ED1DD7"/>
    <w:rsid w:val="00ED2395"/>
    <w:rsid w:val="00ED3115"/>
    <w:rsid w:val="00ED3AF0"/>
    <w:rsid w:val="00ED7043"/>
    <w:rsid w:val="00EE1E02"/>
    <w:rsid w:val="00EE22E2"/>
    <w:rsid w:val="00EE436A"/>
    <w:rsid w:val="00EF19DD"/>
    <w:rsid w:val="00F04469"/>
    <w:rsid w:val="00F12768"/>
    <w:rsid w:val="00F14413"/>
    <w:rsid w:val="00F17E7E"/>
    <w:rsid w:val="00F202A9"/>
    <w:rsid w:val="00F23CCE"/>
    <w:rsid w:val="00F24B11"/>
    <w:rsid w:val="00F30C1F"/>
    <w:rsid w:val="00F33573"/>
    <w:rsid w:val="00F33A7B"/>
    <w:rsid w:val="00F4114C"/>
    <w:rsid w:val="00F417FC"/>
    <w:rsid w:val="00F50153"/>
    <w:rsid w:val="00F61082"/>
    <w:rsid w:val="00F678D6"/>
    <w:rsid w:val="00F84870"/>
    <w:rsid w:val="00F86847"/>
    <w:rsid w:val="00F87E28"/>
    <w:rsid w:val="00FB12DF"/>
    <w:rsid w:val="00FC024C"/>
    <w:rsid w:val="00FC0742"/>
    <w:rsid w:val="00FC2346"/>
    <w:rsid w:val="00FC24A4"/>
    <w:rsid w:val="00FC2D27"/>
    <w:rsid w:val="00FC49BF"/>
    <w:rsid w:val="00FC6F5A"/>
    <w:rsid w:val="00FC76C0"/>
    <w:rsid w:val="00FD1251"/>
    <w:rsid w:val="00FD78A2"/>
    <w:rsid w:val="00FD7B49"/>
    <w:rsid w:val="00FE6683"/>
    <w:rsid w:val="00FE6E4F"/>
    <w:rsid w:val="00FE72C1"/>
    <w:rsid w:val="00FE7418"/>
    <w:rsid w:val="00FF7124"/>
    <w:rsid w:val="00FF72E5"/>
    <w:rsid w:val="011608C0"/>
    <w:rsid w:val="01615C71"/>
    <w:rsid w:val="03505A4F"/>
    <w:rsid w:val="0363638D"/>
    <w:rsid w:val="05AD748B"/>
    <w:rsid w:val="062A0663"/>
    <w:rsid w:val="07E72C42"/>
    <w:rsid w:val="089C30D6"/>
    <w:rsid w:val="0C150BB3"/>
    <w:rsid w:val="10BF41A5"/>
    <w:rsid w:val="117B79BF"/>
    <w:rsid w:val="12CB0B24"/>
    <w:rsid w:val="150C49A5"/>
    <w:rsid w:val="15FD20FA"/>
    <w:rsid w:val="16855052"/>
    <w:rsid w:val="177F692D"/>
    <w:rsid w:val="188214BF"/>
    <w:rsid w:val="19B360D7"/>
    <w:rsid w:val="19E55E38"/>
    <w:rsid w:val="1ABB6AC9"/>
    <w:rsid w:val="1C1B0C26"/>
    <w:rsid w:val="1E095CCA"/>
    <w:rsid w:val="1F2947D2"/>
    <w:rsid w:val="20EA7C22"/>
    <w:rsid w:val="24293DBA"/>
    <w:rsid w:val="24E46627"/>
    <w:rsid w:val="25154D54"/>
    <w:rsid w:val="275B0373"/>
    <w:rsid w:val="326B575C"/>
    <w:rsid w:val="33C8189E"/>
    <w:rsid w:val="345553DE"/>
    <w:rsid w:val="34A81F39"/>
    <w:rsid w:val="37C96912"/>
    <w:rsid w:val="3842105F"/>
    <w:rsid w:val="3D1D7686"/>
    <w:rsid w:val="402E7622"/>
    <w:rsid w:val="45B84839"/>
    <w:rsid w:val="465C2D73"/>
    <w:rsid w:val="46DF3D79"/>
    <w:rsid w:val="49945FC4"/>
    <w:rsid w:val="4A972338"/>
    <w:rsid w:val="4FD94218"/>
    <w:rsid w:val="555C7975"/>
    <w:rsid w:val="55930F13"/>
    <w:rsid w:val="59A9517E"/>
    <w:rsid w:val="5BB0584E"/>
    <w:rsid w:val="5DE717AF"/>
    <w:rsid w:val="60096436"/>
    <w:rsid w:val="64935ED4"/>
    <w:rsid w:val="675E0C98"/>
    <w:rsid w:val="68A1329E"/>
    <w:rsid w:val="68D03C73"/>
    <w:rsid w:val="6A6B1D64"/>
    <w:rsid w:val="6C2E405D"/>
    <w:rsid w:val="6C587FCD"/>
    <w:rsid w:val="6E1224D5"/>
    <w:rsid w:val="71070375"/>
    <w:rsid w:val="78105D50"/>
    <w:rsid w:val="781F1187"/>
    <w:rsid w:val="78C921C0"/>
    <w:rsid w:val="79F90DA4"/>
    <w:rsid w:val="7A1B6810"/>
    <w:rsid w:val="7EB850B6"/>
    <w:rsid w:val="7FF37F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eastAsia="宋体" w:asciiTheme="minorHAnsi" w:hAnsiTheme="minorHAnsi" w:cstheme="minorBidi"/>
      <w:kern w:val="2"/>
      <w:sz w:val="24"/>
      <w:szCs w:val="22"/>
      <w:lang w:val="en-US" w:eastAsia="zh-CN" w:bidi="ar-SA"/>
    </w:rPr>
  </w:style>
  <w:style w:type="paragraph" w:styleId="3">
    <w:name w:val="heading 1"/>
    <w:basedOn w:val="1"/>
    <w:next w:val="1"/>
    <w:link w:val="22"/>
    <w:qFormat/>
    <w:uiPriority w:val="0"/>
    <w:pPr>
      <w:keepNext/>
      <w:tabs>
        <w:tab w:val="left" w:pos="360"/>
      </w:tabs>
      <w:autoSpaceDE w:val="0"/>
      <w:autoSpaceDN w:val="0"/>
      <w:adjustRightInd w:val="0"/>
      <w:ind w:left="284" w:hanging="284"/>
      <w:jc w:val="center"/>
      <w:outlineLvl w:val="0"/>
    </w:pPr>
    <w:rPr>
      <w:rFonts w:ascii="仿宋_GB2312" w:eastAsia="黑体"/>
      <w:b/>
      <w:bCs/>
      <w:color w:val="000000"/>
      <w:sz w:val="30"/>
    </w:rPr>
  </w:style>
  <w:style w:type="paragraph" w:styleId="4">
    <w:name w:val="heading 2"/>
    <w:basedOn w:val="1"/>
    <w:next w:val="1"/>
    <w:link w:val="27"/>
    <w:unhideWhenUsed/>
    <w:qFormat/>
    <w:uiPriority w:val="9"/>
    <w:pPr>
      <w:keepNext/>
      <w:keepLines/>
      <w:spacing w:before="260" w:after="260" w:line="416" w:lineRule="auto"/>
      <w:jc w:val="center"/>
      <w:outlineLvl w:val="1"/>
    </w:pPr>
    <w:rPr>
      <w:rFonts w:eastAsia="黑体" w:asciiTheme="majorHAnsi" w:hAnsiTheme="majorHAnsi" w:cstheme="majorBidi"/>
      <w:b/>
      <w:bCs/>
      <w:sz w:val="30"/>
      <w:szCs w:val="32"/>
    </w:rPr>
  </w:style>
  <w:style w:type="paragraph" w:styleId="2">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unhideWhenUsed/>
    <w:qFormat/>
    <w:uiPriority w:val="39"/>
    <w:pPr>
      <w:ind w:left="840" w:leftChars="400"/>
    </w:pPr>
  </w:style>
  <w:style w:type="paragraph" w:styleId="7">
    <w:name w:val="Plain Text"/>
    <w:basedOn w:val="1"/>
    <w:link w:val="26"/>
    <w:qFormat/>
    <w:uiPriority w:val="0"/>
    <w:pPr>
      <w:widowControl/>
      <w:spacing w:line="240" w:lineRule="atLeast"/>
    </w:pPr>
    <w:rPr>
      <w:rFonts w:ascii="宋体" w:hAnsi="Times New Roman" w:cs="Times New Roman"/>
      <w:szCs w:val="20"/>
    </w:rPr>
  </w:style>
  <w:style w:type="paragraph" w:styleId="8">
    <w:name w:val="Date"/>
    <w:basedOn w:val="1"/>
    <w:next w:val="1"/>
    <w:link w:val="34"/>
    <w:semiHidden/>
    <w:unhideWhenUsed/>
    <w:qFormat/>
    <w:uiPriority w:val="99"/>
    <w:pPr>
      <w:ind w:left="100" w:leftChars="2500"/>
    </w:pPr>
  </w:style>
  <w:style w:type="paragraph" w:styleId="9">
    <w:name w:val="Balloon Text"/>
    <w:basedOn w:val="1"/>
    <w:link w:val="28"/>
    <w:semiHidden/>
    <w:unhideWhenUsed/>
    <w:qFormat/>
    <w:uiPriority w:val="99"/>
    <w:rPr>
      <w:sz w:val="18"/>
      <w:szCs w:val="18"/>
    </w:rPr>
  </w:style>
  <w:style w:type="paragraph" w:styleId="10">
    <w:name w:val="footer"/>
    <w:basedOn w:val="1"/>
    <w:link w:val="24"/>
    <w:unhideWhenUsed/>
    <w:qFormat/>
    <w:uiPriority w:val="99"/>
    <w:pPr>
      <w:tabs>
        <w:tab w:val="center" w:pos="4153"/>
        <w:tab w:val="right" w:pos="8306"/>
      </w:tabs>
      <w:snapToGrid w:val="0"/>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HTML Preformatted"/>
    <w:basedOn w:val="1"/>
    <w:link w:val="35"/>
    <w:semiHidden/>
    <w:unhideWhenUsed/>
    <w:qFormat/>
    <w:uiPriority w:val="99"/>
    <w:rPr>
      <w:rFonts w:ascii="Courier New" w:hAnsi="Courier New" w:cs="Courier New"/>
      <w:sz w:val="20"/>
      <w:szCs w:val="20"/>
    </w:rPr>
  </w:style>
  <w:style w:type="paragraph" w:styleId="15">
    <w:name w:val="Normal (Web)"/>
    <w:basedOn w:val="1"/>
    <w:qFormat/>
    <w:uiPriority w:val="0"/>
    <w:pPr>
      <w:spacing w:beforeAutospacing="1" w:afterAutospacing="1"/>
    </w:pPr>
    <w:rPr>
      <w:rFonts w:cs="Times New Roman" w:eastAsiaTheme="minorEastAsia"/>
      <w:kern w:val="0"/>
      <w:szCs w:val="24"/>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bCs/>
    </w:rPr>
  </w:style>
  <w:style w:type="character" w:styleId="20">
    <w:name w:val="FollowedHyperlink"/>
    <w:basedOn w:val="18"/>
    <w:semiHidden/>
    <w:unhideWhenUsed/>
    <w:qFormat/>
    <w:uiPriority w:val="99"/>
    <w:rPr>
      <w:color w:val="800080" w:themeColor="followedHyperlink"/>
      <w:u w:val="single"/>
      <w14:textFill>
        <w14:solidFill>
          <w14:schemeClr w14:val="folHlink"/>
        </w14:solidFill>
      </w14:textFill>
    </w:rPr>
  </w:style>
  <w:style w:type="character" w:styleId="21">
    <w:name w:val="Hyperlink"/>
    <w:basedOn w:val="18"/>
    <w:unhideWhenUsed/>
    <w:qFormat/>
    <w:uiPriority w:val="99"/>
    <w:rPr>
      <w:color w:val="0000FF" w:themeColor="hyperlink"/>
      <w:u w:val="single"/>
      <w14:textFill>
        <w14:solidFill>
          <w14:schemeClr w14:val="hlink"/>
        </w14:solidFill>
      </w14:textFill>
    </w:rPr>
  </w:style>
  <w:style w:type="character" w:customStyle="1" w:styleId="22">
    <w:name w:val="标题 1 字符"/>
    <w:link w:val="3"/>
    <w:qFormat/>
    <w:uiPriority w:val="0"/>
    <w:rPr>
      <w:rFonts w:ascii="仿宋_GB2312" w:eastAsia="黑体"/>
      <w:b/>
      <w:bCs/>
      <w:color w:val="000000"/>
      <w:sz w:val="30"/>
    </w:rPr>
  </w:style>
  <w:style w:type="character" w:customStyle="1" w:styleId="23">
    <w:name w:val="页眉 字符"/>
    <w:basedOn w:val="18"/>
    <w:link w:val="11"/>
    <w:qFormat/>
    <w:uiPriority w:val="99"/>
    <w:rPr>
      <w:sz w:val="18"/>
      <w:szCs w:val="18"/>
    </w:rPr>
  </w:style>
  <w:style w:type="character" w:customStyle="1" w:styleId="24">
    <w:name w:val="页脚 字符"/>
    <w:basedOn w:val="18"/>
    <w:link w:val="10"/>
    <w:qFormat/>
    <w:uiPriority w:val="99"/>
    <w:rPr>
      <w:sz w:val="18"/>
      <w:szCs w:val="18"/>
    </w:rPr>
  </w:style>
  <w:style w:type="character" w:customStyle="1" w:styleId="25">
    <w:name w:val="纯文本 Char"/>
    <w:basedOn w:val="18"/>
    <w:semiHidden/>
    <w:qFormat/>
    <w:uiPriority w:val="99"/>
    <w:rPr>
      <w:rFonts w:ascii="宋体" w:hAnsi="Courier New" w:eastAsia="宋体" w:cs="Courier New"/>
      <w:szCs w:val="21"/>
    </w:rPr>
  </w:style>
  <w:style w:type="character" w:customStyle="1" w:styleId="26">
    <w:name w:val="纯文本 字符"/>
    <w:link w:val="7"/>
    <w:qFormat/>
    <w:uiPriority w:val="0"/>
    <w:rPr>
      <w:rFonts w:ascii="宋体" w:hAnsi="Times New Roman" w:eastAsia="宋体" w:cs="Times New Roman"/>
      <w:szCs w:val="20"/>
    </w:rPr>
  </w:style>
  <w:style w:type="character" w:customStyle="1" w:styleId="27">
    <w:name w:val="标题 2 字符"/>
    <w:basedOn w:val="18"/>
    <w:link w:val="4"/>
    <w:qFormat/>
    <w:uiPriority w:val="9"/>
    <w:rPr>
      <w:rFonts w:eastAsia="黑体" w:asciiTheme="majorHAnsi" w:hAnsiTheme="majorHAnsi" w:cstheme="majorBidi"/>
      <w:b/>
      <w:bCs/>
      <w:sz w:val="30"/>
      <w:szCs w:val="32"/>
    </w:rPr>
  </w:style>
  <w:style w:type="character" w:customStyle="1" w:styleId="28">
    <w:name w:val="批注框文本 字符"/>
    <w:basedOn w:val="18"/>
    <w:link w:val="9"/>
    <w:semiHidden/>
    <w:qFormat/>
    <w:uiPriority w:val="99"/>
    <w:rPr>
      <w:rFonts w:eastAsia="宋体"/>
      <w:sz w:val="18"/>
      <w:szCs w:val="18"/>
    </w:rPr>
  </w:style>
  <w:style w:type="character" w:customStyle="1" w:styleId="29">
    <w:name w:val="标题 3 字符"/>
    <w:basedOn w:val="18"/>
    <w:link w:val="2"/>
    <w:qFormat/>
    <w:uiPriority w:val="9"/>
    <w:rPr>
      <w:rFonts w:eastAsia="宋体"/>
      <w:b/>
      <w:bCs/>
      <w:sz w:val="32"/>
      <w:szCs w:val="32"/>
    </w:rPr>
  </w:style>
  <w:style w:type="character" w:customStyle="1" w:styleId="30">
    <w:name w:val="标题 4 字符"/>
    <w:basedOn w:val="18"/>
    <w:link w:val="5"/>
    <w:semiHidden/>
    <w:qFormat/>
    <w:uiPriority w:val="9"/>
    <w:rPr>
      <w:rFonts w:asciiTheme="majorHAnsi" w:hAnsiTheme="majorHAnsi" w:eastAsiaTheme="majorEastAsia" w:cstheme="majorBidi"/>
      <w:b/>
      <w:bCs/>
      <w:sz w:val="28"/>
      <w:szCs w:val="28"/>
    </w:rPr>
  </w:style>
  <w:style w:type="paragraph" w:customStyle="1" w:styleId="31">
    <w:name w:val="TOC 标题1"/>
    <w:basedOn w:val="3"/>
    <w:next w:val="1"/>
    <w:unhideWhenUsed/>
    <w:qFormat/>
    <w:uiPriority w:val="39"/>
    <w:pPr>
      <w:keepLines/>
      <w:widowControl/>
      <w:tabs>
        <w:tab w:val="clear" w:pos="360"/>
      </w:tabs>
      <w:autoSpaceDE/>
      <w:autoSpaceDN/>
      <w:adjustRightInd/>
      <w:spacing w:before="480" w:line="276" w:lineRule="auto"/>
      <w:ind w:left="0" w:firstLine="0"/>
      <w:jc w:val="left"/>
      <w:outlineLvl w:val="9"/>
    </w:pPr>
    <w:rPr>
      <w:rFonts w:asciiTheme="majorHAnsi" w:hAnsiTheme="majorHAnsi" w:eastAsiaTheme="majorEastAsia" w:cstheme="majorBidi"/>
      <w:color w:val="376092" w:themeColor="accent1" w:themeShade="BF"/>
      <w:kern w:val="0"/>
      <w:sz w:val="28"/>
      <w:szCs w:val="28"/>
    </w:rPr>
  </w:style>
  <w:style w:type="paragraph" w:styleId="32">
    <w:name w:val="List Paragraph"/>
    <w:basedOn w:val="1"/>
    <w:qFormat/>
    <w:uiPriority w:val="34"/>
    <w:pPr>
      <w:ind w:firstLine="420" w:firstLineChars="200"/>
    </w:pPr>
  </w:style>
  <w:style w:type="paragraph" w:styleId="33">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34">
    <w:name w:val="日期 字符"/>
    <w:basedOn w:val="18"/>
    <w:link w:val="8"/>
    <w:semiHidden/>
    <w:qFormat/>
    <w:uiPriority w:val="99"/>
    <w:rPr>
      <w:rFonts w:eastAsia="宋体"/>
      <w:sz w:val="24"/>
    </w:rPr>
  </w:style>
  <w:style w:type="character" w:customStyle="1" w:styleId="35">
    <w:name w:val="HTML 预设格式 字符"/>
    <w:basedOn w:val="18"/>
    <w:link w:val="14"/>
    <w:semiHidden/>
    <w:qFormat/>
    <w:uiPriority w:val="99"/>
    <w:rPr>
      <w:rFonts w:ascii="Courier New" w:hAnsi="Courier New" w:eastAsia="宋体" w:cs="Courier New"/>
      <w:sz w:val="20"/>
      <w:szCs w:val="20"/>
    </w:rPr>
  </w:style>
  <w:style w:type="table" w:customStyle="1" w:styleId="36">
    <w:name w:val="网格型1"/>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7">
    <w:name w:val="p1"/>
    <w:basedOn w:val="1"/>
    <w:qFormat/>
    <w:uiPriority w:val="0"/>
    <w:pPr>
      <w:widowControl/>
      <w:spacing w:line="480" w:lineRule="auto"/>
      <w:jc w:val="center"/>
    </w:pPr>
    <w:rPr>
      <w:rFonts w:ascii="宋体" w:hAnsi="宋体" w:cs="宋体"/>
      <w:kern w:val="0"/>
      <w:sz w:val="28"/>
      <w:szCs w:val="28"/>
    </w:rPr>
  </w:style>
  <w:style w:type="paragraph" w:customStyle="1" w:styleId="38">
    <w:name w:val="p2"/>
    <w:basedOn w:val="1"/>
    <w:qFormat/>
    <w:uiPriority w:val="0"/>
    <w:pPr>
      <w:widowControl/>
      <w:spacing w:line="480" w:lineRule="auto"/>
      <w:ind w:firstLine="420"/>
    </w:pPr>
    <w:rPr>
      <w:rFonts w:ascii="宋体" w:hAnsi="宋体" w:cs="宋体"/>
      <w:kern w:val="0"/>
      <w:sz w:val="21"/>
      <w:szCs w:val="21"/>
    </w:rPr>
  </w:style>
  <w:style w:type="paragraph" w:customStyle="1" w:styleId="39">
    <w:name w:val="TOC Heading"/>
    <w:basedOn w:val="3"/>
    <w:next w:val="1"/>
    <w:semiHidden/>
    <w:unhideWhenUsed/>
    <w:qFormat/>
    <w:uiPriority w:val="39"/>
    <w:pPr>
      <w:keepLines/>
      <w:widowControl/>
      <w:tabs>
        <w:tab w:val="clear" w:pos="360"/>
      </w:tabs>
      <w:autoSpaceDE/>
      <w:autoSpaceDN/>
      <w:adjustRightInd/>
      <w:spacing w:before="480" w:line="276" w:lineRule="auto"/>
      <w:ind w:left="0" w:firstLine="0"/>
      <w:jc w:val="left"/>
      <w:outlineLvl w:val="9"/>
    </w:pPr>
    <w:rPr>
      <w:rFonts w:asciiTheme="majorHAnsi" w:hAnsiTheme="majorHAnsi" w:eastAsiaTheme="majorEastAsia" w:cstheme="majorBidi"/>
      <w:color w:val="376092" w:themeColor="accent1" w:themeShade="BF"/>
      <w:kern w:val="0"/>
      <w:sz w:val="28"/>
      <w:szCs w:val="28"/>
    </w:rPr>
  </w:style>
  <w:style w:type="table" w:customStyle="1" w:styleId="40">
    <w:name w:val="网格型11"/>
    <w:basedOn w:val="16"/>
    <w:qFormat/>
    <w:uiPriority w:val="59"/>
    <w:pPr>
      <w:widowControl w:val="0"/>
      <w:spacing w:after="0" w:line="24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3.wmf"/><Relationship Id="rId7" Type="http://schemas.openxmlformats.org/officeDocument/2006/relationships/oleObject" Target="embeddings/oleObject1.bin"/><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661101-5724-4CAA-92D9-38F4B1FCA23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7406</Words>
  <Characters>42219</Characters>
  <Lines>351</Lines>
  <Paragraphs>99</Paragraphs>
  <TotalTime>6</TotalTime>
  <ScaleCrop>false</ScaleCrop>
  <LinksUpToDate>false</LinksUpToDate>
  <CharactersWithSpaces>49526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2019-10-28T01:15:00Z</dcterms:created>
  <dc:creator>USER</dc:creator>
  <cp:lastModifiedBy>czy</cp:lastModifiedBy>
  <cp:lastPrinted>2020-01-17T06:38:00Z</cp:lastPrinted>
  <dcterms:modified xsi:type="dcterms:W3CDTF">2021-01-12T05:12:46Z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