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t xml:space="preserve"> 采购需求</w:t>
      </w:r>
    </w:p>
    <w:tbl>
      <w:tblPr>
        <w:tblStyle w:val="6"/>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13"/>
        <w:gridCol w:w="3762"/>
        <w:gridCol w:w="763"/>
        <w:gridCol w:w="1012"/>
        <w:gridCol w:w="1263"/>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标段</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采购内容</w:t>
            </w:r>
          </w:p>
        </w:tc>
        <w:tc>
          <w:tcPr>
            <w:tcW w:w="3762" w:type="dxa"/>
          </w:tcPr>
          <w:p>
            <w:pPr>
              <w:keepNext w:val="0"/>
              <w:keepLines w:val="0"/>
              <w:pageBreakBefore w:val="0"/>
              <w:kinsoku/>
              <w:wordWrap/>
              <w:overflowPunct/>
              <w:topLinePunct w:val="0"/>
              <w:autoSpaceDE/>
              <w:autoSpaceDN/>
              <w:bidi w:val="0"/>
              <w:adjustRightInd/>
              <w:snapToGrid w:val="0"/>
              <w:spacing w:line="240" w:lineRule="auto"/>
              <w:ind w:firstLine="360" w:firstLineChars="200"/>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技术标准及规格</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单位</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采购数量</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采购资金</w:t>
            </w:r>
          </w:p>
        </w:tc>
        <w:tc>
          <w:tcPr>
            <w:tcW w:w="1198" w:type="dxa"/>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供货地点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50" w:type="dxa"/>
            <w:vMerge w:val="restart"/>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A包</w:t>
            </w:r>
          </w:p>
        </w:tc>
        <w:tc>
          <w:tcPr>
            <w:tcW w:w="1213"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猪口蹄疫O型灭活疫苗</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疫苗含灭活的O型-A型口蹄疫病毒，采用悬浮培养工艺，进口206佐剂生产。成品疫苗稳定性、无菌检验、安全检验、效力检验符合国家标准。规格50ml/瓶或100ml/瓶。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毫升</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440000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35.20万元</w:t>
            </w:r>
          </w:p>
        </w:tc>
        <w:tc>
          <w:tcPr>
            <w:tcW w:w="1198" w:type="dxa"/>
            <w:vMerge w:val="restart"/>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50" w:type="dxa"/>
            <w:vMerge w:val="continue"/>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tc>
        <w:tc>
          <w:tcPr>
            <w:tcW w:w="1213"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牛羊口蹄疫O型、A型二价灭活疫苗（用于牛羊）</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宋体" w:hAnsi="宋体" w:cs="宋体"/>
                <w:kern w:val="0"/>
                <w:sz w:val="18"/>
                <w:szCs w:val="18"/>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疫苗含灭活的O型-A型口蹄疫病毒，采用悬浮培养工艺，进口206佐剂生产。成品疫苗稳定性、无菌检验、安全检验、效力检验符合国家标准。规格50ml/瓶或100ml/瓶。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毫升</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260000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26.00万元</w:t>
            </w:r>
          </w:p>
        </w:tc>
        <w:tc>
          <w:tcPr>
            <w:tcW w:w="1198" w:type="dxa"/>
            <w:vMerge w:val="continue"/>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50" w:type="dxa"/>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B包</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小反刍兽疫活疫苗及稀释液</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小反刍兽疫弱毒病毒至少为</w: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object>
                <v:shape id="_x0000_i1025" o:spt="75" type="#_x0000_t75" style="height:16pt;width:24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object>
                <v:shape id="_x0000_i1026" o:spt="75" type="#_x0000_t75" style="height:18pt;width:31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／头份。成品疫苗稳定性、无菌检验、安全检验、效力检验符合国家标准。规格100头份/瓶。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头份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140000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5.60万元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750" w:type="dxa"/>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C包</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高致病性重组禽流感三价（H5+H7）灭活疫苗</w:t>
            </w:r>
          </w:p>
        </w:tc>
        <w:tc>
          <w:tcPr>
            <w:tcW w:w="3762" w:type="dxa"/>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疫苗含重组禽流感病毒（H5+H7）三价灭活疫苗（H5N1Re-11株+Re-12株，H7N9H7-Re3株）。成品疫苗稳定性、无菌检验、安全检验、效力检验符合国家标准。规格100ml/瓶或250mL/瓶。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羽份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700000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10.50万元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750" w:type="dxa"/>
            <w:vMerge w:val="restart"/>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D包</w:t>
            </w:r>
          </w:p>
        </w:tc>
        <w:tc>
          <w:tcPr>
            <w:tcW w:w="121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val="0"/>
                <w:bCs w:val="0"/>
                <w:color w:val="000000"/>
                <w:sz w:val="18"/>
                <w:szCs w:val="18"/>
                <w:lang w:val="en-US" w:eastAsia="zh-CN"/>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猪瘟传代细胞疫苗</w:t>
            </w:r>
          </w:p>
        </w:tc>
        <w:tc>
          <w:tcPr>
            <w:tcW w:w="3762" w:type="dxa"/>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每头份病毒含量不低于含细胞毒液不少于0.015ml(每头份病毒含量不低于7500个兔体感染量）。成品疫苗稳定性、无菌检验、安全检验、效力检验符合国家标准，需添加耐热保护剂。规格20头份/瓶或40头份/瓶。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头份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240000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ind w:firstLine="180" w:firstLineChars="100"/>
              <w:jc w:val="both"/>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8.64万元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50" w:type="dxa"/>
            <w:vMerge w:val="continue"/>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13" w:type="dxa"/>
            <w:vAlign w:val="center"/>
          </w:tcPr>
          <w:p>
            <w:pPr>
              <w:spacing w:after="0" w:line="240" w:lineRule="auto"/>
              <w:jc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高致病性猪蓝耳病活疫苗</w:t>
            </w:r>
          </w:p>
        </w:tc>
        <w:tc>
          <w:tcPr>
            <w:tcW w:w="3762" w:type="dxa"/>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每头份病毒含量不低于</w: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object>
                <v:shape id="_x0000_i1027" o:spt="75" type="#_x0000_t75" style="height:16pt;width:24pt;" o:ole="t" filled="f" o:preferrelative="t" stroked="f" coordsize="21600,21600">
                  <v:path/>
                  <v:fill on="f" focussize="0,0"/>
                  <v:stroke on="f"/>
                  <v:imagedata r:id="rId6" o:title=""/>
                  <o:lock v:ext="edit" aspectratio="t"/>
                  <w10:wrap type="none"/>
                  <w10:anchorlock/>
                </v:shape>
                <o:OLEObject Type="Embed" ProgID="Equation.KSEE3" ShapeID="_x0000_i1027" DrawAspect="Content" ObjectID="_1468075727" r:id="rId9">
                  <o:LockedField>false</o:LockedField>
                </o:OLEObject>
              </w:objec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object>
                <v:shape id="_x0000_i1028" o:spt="75" type="#_x0000_t75" style="height:18pt;width:31pt;" o:ole="t" filled="f" o:preferrelative="t" stroked="f" coordsize="21600,21600">
                  <v:path/>
                  <v:fill on="f" focussize="0,0"/>
                  <v:stroke on="f"/>
                  <v:imagedata r:id="rId8" o:title=""/>
                  <o:lock v:ext="edit" aspectratio="t"/>
                  <w10:wrap type="none"/>
                  <w10:anchorlock/>
                </v:shape>
                <o:OLEObject Type="Embed" ProgID="Equation.KSEE3" ShapeID="_x0000_i1028" DrawAspect="Content" ObjectID="_1468075728" r:id="rId10">
                  <o:LockedField>false</o:LockedField>
                </o:OLEObject>
              </w:object>
            </w: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。成品疫苗稳定性、无菌检验、安全检验、效力检验符合国家标准，需添加耐热保护剂。规格20头份/瓶或40头份/瓶。</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ind w:firstLine="180" w:firstLineChars="100"/>
              <w:jc w:val="both"/>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头份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240000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15.36万元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750" w:type="dxa"/>
            <w:vMerge w:val="continue"/>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13" w:type="dxa"/>
            <w:vAlign w:val="center"/>
          </w:tcPr>
          <w:p>
            <w:pPr>
              <w:spacing w:after="0" w:line="240" w:lineRule="auto"/>
              <w:jc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狂犬病灭活疫苗</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疫苗含灭活的狂犬病病毒，成品疫苗稳定性、无菌检验、安全检验、效力检验符合国家标准。规格1头份/瓶（配同等份一次性注射器）。</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只份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9000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4.50万元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750" w:type="dxa"/>
            <w:vMerge w:val="continue"/>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13" w:type="dxa"/>
            <w:vAlign w:val="center"/>
          </w:tcPr>
          <w:p>
            <w:pPr>
              <w:spacing w:after="0" w:line="240" w:lineRule="auto"/>
              <w:jc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鸡新城疫</w:t>
            </w:r>
            <w:r>
              <w:rPr>
                <w:rFonts w:hint="eastAsia" w:ascii="微软雅黑" w:hAnsi="微软雅黑" w:eastAsia="微软雅黑" w:cs="微软雅黑"/>
                <w:b w:val="0"/>
                <w:bCs w:val="0"/>
                <w:color w:val="000000"/>
                <w:sz w:val="18"/>
                <w:szCs w:val="18"/>
                <w:lang w:val="en-US" w:eastAsia="zh-CN"/>
              </w:rPr>
              <w:t>Ⅱ</w:t>
            </w:r>
            <w:r>
              <w:rPr>
                <w:rFonts w:hint="eastAsia" w:ascii="方正仿宋简体" w:hAnsi="方正仿宋简体" w:eastAsia="方正仿宋简体" w:cs="方正仿宋简体"/>
                <w:b w:val="0"/>
                <w:bCs w:val="0"/>
                <w:color w:val="000000"/>
                <w:sz w:val="18"/>
                <w:szCs w:val="18"/>
                <w:lang w:val="en-US" w:eastAsia="zh-CN"/>
              </w:rPr>
              <w:t>系活疫苗（HB1株）</w:t>
            </w:r>
          </w:p>
        </w:tc>
        <w:tc>
          <w:tcPr>
            <w:tcW w:w="3762"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sz w:val="18"/>
                <w:szCs w:val="18"/>
                <w:lang w:val="en-US" w:eastAsia="zh-CN"/>
              </w:rPr>
              <w:t>成品疫苗稳定性、无菌检验、安全检验、效力检验符合国家标准。规格100羽份/瓶或500羽份/瓶（配同等份稀释液）。</w:t>
            </w:r>
          </w:p>
        </w:tc>
        <w:tc>
          <w:tcPr>
            <w:tcW w:w="7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羽份</w:t>
            </w:r>
          </w:p>
        </w:tc>
        <w:tc>
          <w:tcPr>
            <w:tcW w:w="1012"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200000</w:t>
            </w:r>
          </w:p>
        </w:tc>
        <w:tc>
          <w:tcPr>
            <w:tcW w:w="1263"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18"/>
                <w:szCs w:val="18"/>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0.20万元</w:t>
            </w:r>
          </w:p>
        </w:tc>
        <w:tc>
          <w:tcPr>
            <w:tcW w:w="1198"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18"/>
                <w:szCs w:val="18"/>
                <w:lang w:val="en-US" w:eastAsia="zh-CN"/>
                <w14:textFill>
                  <w14:solidFill>
                    <w14:schemeClr w14:val="tx1"/>
                  </w14:solidFill>
                </w14:textFill>
              </w:rPr>
              <w:t>牟定县</w:t>
            </w:r>
          </w:p>
        </w:tc>
      </w:tr>
    </w:tbl>
    <w:p>
      <w:pPr>
        <w:spacing w:line="240" w:lineRule="auto"/>
        <w:jc w:val="both"/>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注：</w:t>
      </w: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ab/>
      </w:r>
    </w:p>
    <w:p>
      <w:pPr>
        <w:numPr>
          <w:ilvl w:val="0"/>
          <w:numId w:val="1"/>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本一览表中的各项技术参数和规格要求如出现引用某一特定的专利技术、商标、名称、设计、原产地或供应者等情况，则仅起参考作用。投标人可选用实质上“相当于”或“优于”该参考技术规格要求的产品投标。</w:t>
      </w:r>
    </w:p>
    <w:p>
      <w:pPr>
        <w:numPr>
          <w:ilvl w:val="0"/>
          <w:numId w:val="1"/>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中标人提供的疫苗中，在七个乡镇采集血清到牟定县动物疫病预防控制中心兽医实验室开展免疫效果监测，如出现疫苗质量问题，中标人应承担全部经济损失。</w:t>
      </w:r>
    </w:p>
    <w:p>
      <w:pPr>
        <w:numPr>
          <w:ilvl w:val="0"/>
          <w:numId w:val="1"/>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中标人对招标人提供中标价8</w:t>
      </w:r>
      <w:bookmarkStart w:id="0" w:name="_GoBack"/>
      <w:bookmarkEnd w:id="0"/>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的畜禽死亡赔偿和副反应治疗处置费用。出现大面积副反应，应在24小时内派专业技术人员抵达现场开展调查，对事故责任进行分析，经双方确认为疫苗质量引发的副反应死亡的，应当对养殖场（户）进行全部畜禽死亡赔偿和提供副反应治疗处置费用。</w:t>
      </w:r>
    </w:p>
    <w:p>
      <w:pPr>
        <w:numPr>
          <w:ilvl w:val="0"/>
          <w:numId w:val="1"/>
        </w:numPr>
        <w:spacing w:line="300" w:lineRule="atLeast"/>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p>
    <w:p/>
    <w:sectPr>
      <w:footerReference r:id="rId3" w:type="default"/>
      <w:pgSz w:w="12240" w:h="15840"/>
      <w:pgMar w:top="960" w:right="1080" w:bottom="1440" w:left="156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0873"/>
    <w:multiLevelType w:val="singleLevel"/>
    <w:tmpl w:val="212108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FF33BB"/>
    <w:rsid w:val="3423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2021-01-11T06:11:00Z</dcterms:created>
  <dc:creator>Administrator</dc:creator>
  <cp:lastModifiedBy>czy</cp:lastModifiedBy>
  <dcterms:modified xsi:type="dcterms:W3CDTF">2021-01-11T06:12:07Z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