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宋体" w:hAnsi="宋体" w:eastAsia="方正小标宋简体" w:cs="方正小标宋简体"/>
          <w:color w:val="000000"/>
          <w:kern w:val="0"/>
          <w:sz w:val="44"/>
          <w:szCs w:val="44"/>
          <w:lang w:val="en-US" w:eastAsia="zh-CN"/>
        </w:rPr>
      </w:pPr>
      <w:r>
        <w:rPr>
          <w:rFonts w:hint="eastAsia" w:ascii="宋体" w:hAnsi="宋体" w:eastAsia="方正小标宋简体" w:cs="方正小标宋简体"/>
          <w:color w:val="000000"/>
          <w:kern w:val="0"/>
          <w:sz w:val="44"/>
          <w:szCs w:val="44"/>
          <w:lang w:val="en-US" w:eastAsia="zh-CN"/>
        </w:rPr>
        <w:t>牟定县2023年度第六批次城镇建设用地</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_GBK" w:hAnsi="方正小标宋_GBK" w:eastAsia="方正小标宋_GBK" w:cs="方正小标宋_GBK"/>
          <w:color w:val="auto"/>
          <w:sz w:val="44"/>
          <w:szCs w:val="44"/>
        </w:rPr>
      </w:pPr>
      <w:r>
        <w:rPr>
          <w:rFonts w:hint="eastAsia" w:ascii="宋体" w:hAnsi="宋体" w:eastAsia="方正小标宋简体" w:cs="方正小标宋简体"/>
          <w:color w:val="000000"/>
          <w:kern w:val="0"/>
          <w:sz w:val="44"/>
          <w:szCs w:val="44"/>
          <w:lang w:val="en-US" w:eastAsia="zh-CN"/>
        </w:rPr>
        <w:t>征地补偿安置方案</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仿宋_GB2312" w:hAnsi="仿宋"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牟定县人民政府依据牟定县2023年度第六批次城镇建设用地拟征收土地社会稳定风险评估结果，结合土地现状调查情况，组织辖区自然资源局、财政局、人力资源和社会保障局、农业农村局、住建局、林草主管部门等相关部门制定了本方案，具体内容如下：</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600" w:lineRule="exact"/>
        <w:ind w:right="-20" w:rightChars="0" w:firstLine="640" w:firstLineChars="200"/>
        <w:jc w:val="both"/>
        <w:textAlignment w:val="auto"/>
        <w:outlineLvl w:val="9"/>
        <w:rPr>
          <w:rFonts w:hint="eastAsia" w:ascii="宋体" w:hAnsi="宋体" w:eastAsia="方正黑体简体" w:cs="方正黑体简体"/>
          <w:bCs/>
          <w:color w:val="000000"/>
          <w:kern w:val="0"/>
          <w:sz w:val="32"/>
          <w:szCs w:val="32"/>
          <w:lang w:eastAsia="zh-CN"/>
        </w:rPr>
      </w:pPr>
      <w:r>
        <w:rPr>
          <w:rFonts w:hint="eastAsia" w:ascii="宋体" w:hAnsi="宋体" w:eastAsia="方正黑体简体" w:cs="方正黑体简体"/>
          <w:bCs/>
          <w:color w:val="000000"/>
          <w:kern w:val="0"/>
          <w:sz w:val="32"/>
          <w:szCs w:val="32"/>
          <w:lang w:eastAsia="zh-CN"/>
        </w:rPr>
        <w:t>一、征收范围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牟定县2023年度第六批次城镇建设用地拟征收土地涉及牟定县共和镇散花村民委员会万丰万斛塘第三村民小组；共涉及1个乡镇1个村民委员会1个村民小组的集体土地。</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600" w:lineRule="exact"/>
        <w:ind w:right="-20" w:rightChars="0" w:firstLine="640" w:firstLineChars="200"/>
        <w:jc w:val="both"/>
        <w:textAlignment w:val="auto"/>
        <w:outlineLvl w:val="9"/>
        <w:rPr>
          <w:rFonts w:hint="eastAsia" w:ascii="宋体" w:hAnsi="宋体" w:eastAsia="方正黑体简体" w:cs="方正黑体简体"/>
          <w:bCs/>
          <w:color w:val="000000"/>
          <w:kern w:val="0"/>
          <w:sz w:val="32"/>
          <w:szCs w:val="32"/>
          <w:lang w:eastAsia="zh-CN"/>
        </w:rPr>
      </w:pPr>
      <w:r>
        <w:rPr>
          <w:rFonts w:hint="eastAsia" w:ascii="宋体" w:hAnsi="宋体" w:eastAsia="方正黑体简体" w:cs="方正黑体简体"/>
          <w:bCs/>
          <w:color w:val="000000"/>
          <w:kern w:val="0"/>
          <w:sz w:val="32"/>
          <w:szCs w:val="32"/>
          <w:lang w:eastAsia="zh-CN"/>
        </w:rPr>
        <w:t>二、土地现状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rPr>
      </w:pPr>
      <w:r>
        <w:rPr>
          <w:rFonts w:hint="eastAsia" w:ascii="宋体" w:hAnsi="宋体" w:eastAsia="方正仿宋简体" w:cs="方正仿宋简体"/>
          <w:color w:val="auto"/>
          <w:sz w:val="32"/>
          <w:szCs w:val="32"/>
          <w:lang w:val="en-US" w:eastAsia="zh-CN"/>
        </w:rPr>
        <w:t>牟定县2023年度第六批次城镇建设用地涉及牟定县共和镇散花村民委员会万丰万斛塘第三村民小组，集体土地总面积0.6560公顷，</w:t>
      </w:r>
      <w:bookmarkStart w:id="0" w:name="_GoBack"/>
      <w:bookmarkEnd w:id="0"/>
      <w:r>
        <w:rPr>
          <w:rFonts w:hint="eastAsia" w:ascii="宋体" w:hAnsi="宋体" w:eastAsia="方正仿宋简体" w:cs="方正仿宋简体"/>
          <w:color w:val="auto"/>
          <w:sz w:val="32"/>
          <w:szCs w:val="32"/>
          <w:lang w:val="en-US" w:eastAsia="zh-CN"/>
        </w:rPr>
        <w:t>其中农用地为0.6560公顷（耕地0.6560公顷,园地0公顷,林地0公顷，草地0公顷，其它农用地0公顷），不涉及建设用地、未利用地。拟征收土地</w:t>
      </w:r>
      <w:r>
        <w:rPr>
          <w:rFonts w:hint="eastAsia" w:ascii="宋体" w:hAnsi="宋体" w:eastAsia="方正仿宋简体" w:cs="方正仿宋简体"/>
          <w:color w:val="auto"/>
          <w:sz w:val="32"/>
          <w:szCs w:val="32"/>
        </w:rPr>
        <w:t>的权属、地类、面积以及农村村民住宅、其他地上附着物和青苗等的权属、种类、数量等信息。详见《</w:t>
      </w:r>
      <w:r>
        <w:rPr>
          <w:rFonts w:hint="eastAsia" w:ascii="宋体" w:hAnsi="宋体" w:eastAsia="方正仿宋简体" w:cs="方正仿宋简体"/>
          <w:color w:val="auto"/>
          <w:sz w:val="32"/>
          <w:szCs w:val="32"/>
          <w:lang w:val="en-US" w:eastAsia="zh-CN"/>
        </w:rPr>
        <w:t>牟定县2023年度第六批次城镇建设用地</w:t>
      </w:r>
      <w:r>
        <w:rPr>
          <w:rFonts w:hint="eastAsia" w:ascii="宋体" w:hAnsi="宋体" w:eastAsia="方正仿宋简体" w:cs="方正仿宋简体"/>
          <w:color w:val="auto"/>
          <w:sz w:val="32"/>
          <w:szCs w:val="32"/>
        </w:rPr>
        <w:t>拟征收土地现状调查报告》。</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600" w:lineRule="exact"/>
        <w:ind w:right="-20" w:rightChars="0" w:firstLine="640" w:firstLineChars="200"/>
        <w:jc w:val="both"/>
        <w:textAlignment w:val="auto"/>
        <w:outlineLvl w:val="9"/>
        <w:rPr>
          <w:rFonts w:hint="eastAsia" w:ascii="宋体" w:hAnsi="宋体" w:eastAsia="方正黑体简体" w:cs="方正黑体简体"/>
          <w:bCs/>
          <w:color w:val="000000"/>
          <w:kern w:val="0"/>
          <w:sz w:val="32"/>
          <w:szCs w:val="32"/>
          <w:lang w:eastAsia="zh-CN"/>
        </w:rPr>
      </w:pPr>
      <w:r>
        <w:rPr>
          <w:rFonts w:hint="eastAsia" w:ascii="宋体" w:hAnsi="宋体" w:eastAsia="方正黑体简体" w:cs="方正黑体简体"/>
          <w:bCs/>
          <w:color w:val="000000"/>
          <w:kern w:val="0"/>
          <w:sz w:val="32"/>
          <w:szCs w:val="32"/>
          <w:lang w:eastAsia="zh-CN"/>
        </w:rPr>
        <w:t>三、征收目的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rPr>
      </w:pPr>
      <w:r>
        <w:rPr>
          <w:rFonts w:hint="eastAsia" w:ascii="宋体" w:hAnsi="宋体" w:eastAsia="方正仿宋简体" w:cs="方正仿宋简体"/>
          <w:color w:val="auto"/>
          <w:sz w:val="32"/>
          <w:szCs w:val="32"/>
        </w:rPr>
        <w:t>本次拟征收土地用于</w:t>
      </w:r>
      <w:r>
        <w:rPr>
          <w:rFonts w:hint="eastAsia" w:ascii="宋体" w:hAnsi="宋体" w:eastAsia="方正仿宋简体" w:cs="方正仿宋简体"/>
          <w:color w:val="auto"/>
          <w:sz w:val="32"/>
          <w:szCs w:val="32"/>
          <w:lang w:val="en-US" w:eastAsia="zh-CN"/>
        </w:rPr>
        <w:t>牟定县2023年度第六批次城镇建设用地</w:t>
      </w:r>
      <w:r>
        <w:rPr>
          <w:rFonts w:hint="eastAsia" w:ascii="宋体" w:hAnsi="宋体" w:eastAsia="方正仿宋简体" w:cs="方正仿宋简体"/>
          <w:color w:val="auto"/>
          <w:sz w:val="32"/>
          <w:szCs w:val="32"/>
        </w:rPr>
        <w:t>，符合《中华人民共和国土地管理法》第四十五条规定，为公共利益的需要可以征收土地情形。</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600" w:lineRule="exact"/>
        <w:ind w:right="-20" w:rightChars="0" w:firstLine="640" w:firstLineChars="200"/>
        <w:jc w:val="both"/>
        <w:textAlignment w:val="auto"/>
        <w:outlineLvl w:val="9"/>
        <w:rPr>
          <w:rFonts w:hint="eastAsia" w:ascii="宋体" w:hAnsi="宋体" w:eastAsia="方正黑体简体" w:cs="方正黑体简体"/>
          <w:bCs/>
          <w:color w:val="000000"/>
          <w:kern w:val="0"/>
          <w:sz w:val="32"/>
          <w:szCs w:val="32"/>
          <w:lang w:eastAsia="zh-CN"/>
        </w:rPr>
      </w:pPr>
      <w:r>
        <w:rPr>
          <w:rFonts w:hint="eastAsia" w:ascii="宋体" w:hAnsi="宋体" w:eastAsia="方正黑体简体" w:cs="方正黑体简体"/>
          <w:bCs/>
          <w:color w:val="000000"/>
          <w:kern w:val="0"/>
          <w:sz w:val="32"/>
          <w:szCs w:val="32"/>
          <w:lang w:val="en-US" w:eastAsia="zh-CN"/>
        </w:rPr>
        <w:t>四、</w:t>
      </w:r>
      <w:r>
        <w:rPr>
          <w:rFonts w:hint="eastAsia" w:ascii="宋体" w:hAnsi="宋体" w:eastAsia="方正黑体简体" w:cs="方正黑体简体"/>
          <w:bCs/>
          <w:color w:val="000000"/>
          <w:kern w:val="0"/>
          <w:sz w:val="32"/>
          <w:szCs w:val="32"/>
          <w:lang w:eastAsia="zh-CN"/>
        </w:rPr>
        <w:t>征地补偿标准</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600" w:lineRule="exact"/>
        <w:ind w:right="-20" w:rightChars="0" w:firstLine="640" w:firstLineChars="200"/>
        <w:jc w:val="both"/>
        <w:textAlignment w:val="auto"/>
        <w:outlineLvl w:val="9"/>
        <w:rPr>
          <w:rFonts w:hint="eastAsia" w:ascii="宋体" w:hAnsi="宋体" w:eastAsia="方正仿宋简体" w:cs="方正仿宋简体"/>
          <w:color w:val="auto"/>
          <w:sz w:val="32"/>
          <w:szCs w:val="32"/>
        </w:rPr>
      </w:pPr>
      <w:r>
        <w:rPr>
          <w:rFonts w:hint="eastAsia" w:ascii="宋体" w:hAnsi="宋体" w:eastAsia="方正仿宋简体" w:cs="方正仿宋简体"/>
          <w:color w:val="auto"/>
          <w:sz w:val="32"/>
          <w:szCs w:val="32"/>
        </w:rPr>
        <w:t>本次拟征收土地征地补偿标准按照《云南省自然资源厅关于公布实施全省征收农用地区片综合地价的通知》（云自然资〔2020〕173号）执行。该项目共涉及牟定县</w:t>
      </w:r>
      <w:r>
        <w:rPr>
          <w:rFonts w:hint="eastAsia" w:ascii="宋体" w:hAnsi="宋体" w:eastAsia="方正仿宋简体" w:cs="方正仿宋简体"/>
          <w:color w:val="auto"/>
          <w:sz w:val="32"/>
          <w:szCs w:val="32"/>
          <w:lang w:val="en-US" w:eastAsia="zh-CN"/>
        </w:rPr>
        <w:t>1</w:t>
      </w:r>
      <w:r>
        <w:rPr>
          <w:rFonts w:hint="eastAsia" w:ascii="宋体" w:hAnsi="宋体" w:eastAsia="方正仿宋简体" w:cs="方正仿宋简体"/>
          <w:color w:val="auto"/>
          <w:sz w:val="32"/>
          <w:szCs w:val="32"/>
        </w:rPr>
        <w:t>个征地区片和</w:t>
      </w:r>
      <w:r>
        <w:rPr>
          <w:rFonts w:hint="eastAsia" w:ascii="宋体" w:hAnsi="宋体" w:eastAsia="方正仿宋简体" w:cs="方正仿宋简体"/>
          <w:color w:val="auto"/>
          <w:sz w:val="32"/>
          <w:szCs w:val="32"/>
          <w:lang w:val="en-US" w:eastAsia="zh-CN"/>
        </w:rPr>
        <w:t>耕地</w:t>
      </w:r>
      <w:r>
        <w:rPr>
          <w:rFonts w:hint="eastAsia" w:ascii="宋体" w:hAnsi="宋体" w:eastAsia="方正仿宋简体" w:cs="方正仿宋简体"/>
          <w:color w:val="auto"/>
          <w:sz w:val="32"/>
          <w:szCs w:val="32"/>
        </w:rPr>
        <w:t>等</w:t>
      </w:r>
      <w:r>
        <w:rPr>
          <w:rFonts w:hint="eastAsia" w:ascii="宋体" w:hAnsi="宋体" w:eastAsia="方正仿宋简体" w:cs="方正仿宋简体"/>
          <w:color w:val="auto"/>
          <w:sz w:val="32"/>
          <w:szCs w:val="32"/>
          <w:lang w:val="en-US" w:eastAsia="zh-CN"/>
        </w:rPr>
        <w:t>1</w:t>
      </w:r>
      <w:r>
        <w:rPr>
          <w:rFonts w:hint="eastAsia" w:ascii="宋体" w:hAnsi="宋体" w:eastAsia="方正仿宋简体" w:cs="方正仿宋简体"/>
          <w:color w:val="auto"/>
          <w:sz w:val="32"/>
          <w:szCs w:val="32"/>
        </w:rPr>
        <w:t>种地类，Ⅰ区片，标准为</w:t>
      </w:r>
      <w:r>
        <w:rPr>
          <w:rFonts w:hint="eastAsia" w:ascii="宋体" w:hAnsi="宋体" w:eastAsia="方正仿宋简体" w:cs="方正仿宋简体"/>
          <w:color w:val="auto"/>
          <w:sz w:val="32"/>
          <w:szCs w:val="32"/>
          <w:lang w:val="en-US" w:eastAsia="zh-CN"/>
        </w:rPr>
        <w:t>耕地（水田）92.0625万元/公顷、耕地（旱地）73.65万元/公顷。</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600" w:lineRule="exact"/>
        <w:ind w:right="-20" w:rightChars="0" w:firstLine="640" w:firstLineChars="200"/>
        <w:jc w:val="both"/>
        <w:textAlignment w:val="auto"/>
        <w:outlineLvl w:val="9"/>
        <w:rPr>
          <w:rFonts w:hint="eastAsia" w:ascii="宋体" w:hAnsi="宋体" w:eastAsia="方正黑体简体" w:cs="方正黑体简体"/>
          <w:bCs/>
          <w:color w:val="000000"/>
          <w:kern w:val="0"/>
          <w:sz w:val="32"/>
          <w:szCs w:val="32"/>
          <w:lang w:eastAsia="zh-CN"/>
        </w:rPr>
      </w:pPr>
      <w:r>
        <w:rPr>
          <w:rFonts w:hint="eastAsia" w:ascii="宋体" w:hAnsi="宋体" w:eastAsia="方正黑体简体" w:cs="方正黑体简体"/>
          <w:bCs/>
          <w:color w:val="000000"/>
          <w:kern w:val="0"/>
          <w:sz w:val="32"/>
          <w:szCs w:val="32"/>
          <w:lang w:eastAsia="zh-CN"/>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rPr>
      </w:pPr>
      <w:r>
        <w:rPr>
          <w:rFonts w:hint="eastAsia" w:ascii="宋体" w:hAnsi="宋体" w:eastAsia="方正仿宋简体" w:cs="方正仿宋简体"/>
          <w:color w:val="auto"/>
          <w:sz w:val="32"/>
          <w:szCs w:val="32"/>
        </w:rPr>
        <w:t>农村村民住宅补偿、青苗及地上附着物补偿标准按照《楚雄州人民政府关于公布实施全州地上附着物和青苗补偿标准的通知》（楚政通〔2022〕68号）执行。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自公告发布之日起，涉及村小组和农户不得在拟征收的土地上抢栽、抢种、抢建地上附着物，违法规定抢栽、抢种、抢建的，不予补偿。</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600" w:lineRule="exact"/>
        <w:ind w:right="-20" w:rightChars="0" w:firstLine="640" w:firstLineChars="200"/>
        <w:jc w:val="both"/>
        <w:textAlignment w:val="auto"/>
        <w:outlineLvl w:val="9"/>
        <w:rPr>
          <w:rFonts w:hint="eastAsia" w:ascii="宋体" w:hAnsi="宋体" w:eastAsia="方正黑体简体" w:cs="方正黑体简体"/>
          <w:bCs/>
          <w:color w:val="000000"/>
          <w:kern w:val="0"/>
          <w:sz w:val="32"/>
          <w:szCs w:val="32"/>
          <w:lang w:eastAsia="zh-CN"/>
        </w:rPr>
      </w:pPr>
      <w:r>
        <w:rPr>
          <w:rFonts w:hint="eastAsia" w:ascii="宋体" w:hAnsi="宋体" w:eastAsia="方正黑体简体" w:cs="方正黑体简体"/>
          <w:bCs/>
          <w:color w:val="000000"/>
          <w:kern w:val="0"/>
          <w:sz w:val="32"/>
          <w:szCs w:val="32"/>
          <w:lang w:val="en-US" w:eastAsia="zh-CN"/>
        </w:rPr>
        <w:t>六、安置对象及</w:t>
      </w:r>
      <w:r>
        <w:rPr>
          <w:rFonts w:hint="eastAsia" w:ascii="宋体" w:hAnsi="宋体" w:eastAsia="方正黑体简体" w:cs="方正黑体简体"/>
          <w:bCs/>
          <w:color w:val="000000"/>
          <w:kern w:val="0"/>
          <w:sz w:val="32"/>
          <w:szCs w:val="32"/>
          <w:lang w:eastAsia="zh-CN"/>
        </w:rPr>
        <w:t>安置方式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拟征收土地需安置</w:t>
      </w:r>
      <w:r>
        <w:rPr>
          <w:rFonts w:hint="eastAsia" w:ascii="宋体" w:hAnsi="宋体" w:eastAsia="方正仿宋简体" w:cs="方正仿宋简体"/>
          <w:color w:val="auto"/>
          <w:sz w:val="32"/>
          <w:szCs w:val="32"/>
          <w:highlight w:val="none"/>
          <w:lang w:val="en-US" w:eastAsia="zh-CN"/>
        </w:rPr>
        <w:t>农业人口317人（其中劳动力217人），</w:t>
      </w:r>
      <w:r>
        <w:rPr>
          <w:rFonts w:hint="eastAsia" w:ascii="宋体" w:hAnsi="宋体" w:eastAsia="方正仿宋简体" w:cs="方正仿宋简体"/>
          <w:color w:val="auto"/>
          <w:sz w:val="32"/>
          <w:szCs w:val="32"/>
          <w:lang w:val="en-US" w:eastAsia="zh-CN"/>
        </w:rPr>
        <w:t>拟采取发放安置补助费方式安置，从实际出发，坚持保障水平与经济社会发展水平与经济社会发展水平相适应；坚持政府主导和被征地农民自愿相结合，提高被征地农民自我保护意识，将符合条件的被征地农民纳入国家养老保险制度框架体系；坚持个人缴费、集体补助、政府补贴相结合的资金筹措机制，被征地农民按规定缴费后，享受相应的基本养老生活费待遇；引导被征地农民自主创业和外出务工等途径，保障被征地农民原有生活水平不降低。</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600" w:lineRule="exact"/>
        <w:ind w:right="-20" w:rightChars="0" w:firstLine="640" w:firstLineChars="200"/>
        <w:jc w:val="both"/>
        <w:textAlignment w:val="auto"/>
        <w:outlineLvl w:val="9"/>
        <w:rPr>
          <w:rFonts w:hint="eastAsia" w:ascii="宋体" w:hAnsi="宋体" w:eastAsia="方正黑体简体" w:cs="方正黑体简体"/>
          <w:bCs/>
          <w:color w:val="000000"/>
          <w:kern w:val="0"/>
          <w:sz w:val="32"/>
          <w:szCs w:val="32"/>
          <w:lang w:val="en-US" w:eastAsia="zh-CN"/>
        </w:rPr>
      </w:pPr>
      <w:r>
        <w:rPr>
          <w:rFonts w:hint="eastAsia" w:ascii="宋体" w:hAnsi="宋体" w:eastAsia="方正黑体简体" w:cs="方正黑体简体"/>
          <w:bCs/>
          <w:color w:val="000000"/>
          <w:kern w:val="0"/>
          <w:sz w:val="32"/>
          <w:szCs w:val="32"/>
          <w:lang w:val="en-US" w:eastAsia="zh-CN"/>
        </w:rPr>
        <w:t>七</w:t>
      </w:r>
      <w:r>
        <w:rPr>
          <w:rFonts w:hint="eastAsia" w:ascii="宋体" w:hAnsi="宋体" w:eastAsia="方正黑体简体" w:cs="方正黑体简体"/>
          <w:bCs/>
          <w:color w:val="000000"/>
          <w:kern w:val="0"/>
          <w:sz w:val="32"/>
          <w:szCs w:val="32"/>
          <w:lang w:eastAsia="zh-CN"/>
        </w:rPr>
        <w:t>、社会保障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宋体" w:hAnsi="宋体" w:eastAsia="方正仿宋简体" w:cs="方正仿宋简体"/>
          <w:color w:val="auto"/>
          <w:sz w:val="32"/>
          <w:szCs w:val="32"/>
        </w:rPr>
      </w:pPr>
      <w:r>
        <w:rPr>
          <w:rFonts w:hint="eastAsia" w:ascii="宋体" w:hAnsi="宋体" w:eastAsia="方正仿宋简体" w:cs="方正仿宋简体"/>
          <w:color w:val="auto"/>
          <w:sz w:val="32"/>
          <w:szCs w:val="32"/>
          <w:lang w:val="en-US" w:eastAsia="zh-CN"/>
        </w:rPr>
        <w:t>根据</w:t>
      </w:r>
      <w:r>
        <w:rPr>
          <w:rFonts w:hint="eastAsia" w:ascii="宋体" w:hAnsi="宋体" w:eastAsia="方正仿宋简体" w:cs="方正仿宋简体"/>
          <w:color w:val="auto"/>
          <w:sz w:val="32"/>
          <w:szCs w:val="32"/>
        </w:rPr>
        <w:t>《云南省人民政府关于印发云南省被征地农民基本养老保障试行办法的通知》（云政发〔2008〕226 号）、《云南省人民政府办公厅关于改革完善被征地农民基本养老保障的指导意见》（云政办发〔2019〕1 号）精神</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lang w:val="en-US" w:eastAsia="zh-CN"/>
        </w:rPr>
        <w:t>以及</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昆明市人民政府关于印发昆明市失地农民社会保障金缴纳标准的通知</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lang w:val="en-US" w:eastAsia="zh-CN"/>
        </w:rPr>
        <w:t>要求，</w:t>
      </w:r>
      <w:r>
        <w:rPr>
          <w:rFonts w:hint="eastAsia" w:ascii="宋体" w:hAnsi="宋体" w:eastAsia="方正仿宋简体" w:cs="方正仿宋简体"/>
          <w:color w:val="auto"/>
          <w:sz w:val="32"/>
        </w:rPr>
        <w:t>已按</w:t>
      </w:r>
      <w:r>
        <w:rPr>
          <w:rFonts w:hint="eastAsia" w:ascii="宋体" w:hAnsi="宋体" w:eastAsia="方正仿宋简体" w:cs="方正仿宋简体"/>
          <w:color w:val="auto"/>
          <w:sz w:val="32"/>
          <w:lang w:eastAsia="zh-CN"/>
        </w:rPr>
        <w:t>“</w:t>
      </w:r>
      <w:r>
        <w:rPr>
          <w:rFonts w:hint="eastAsia" w:ascii="宋体" w:hAnsi="宋体" w:eastAsia="方正仿宋简体" w:cs="方正仿宋简体"/>
          <w:color w:val="auto"/>
          <w:sz w:val="32"/>
          <w:lang w:val="en-US" w:eastAsia="zh-CN"/>
        </w:rPr>
        <w:t>先保后征</w:t>
      </w:r>
      <w:r>
        <w:rPr>
          <w:rFonts w:hint="eastAsia" w:ascii="宋体" w:hAnsi="宋体" w:eastAsia="方正仿宋简体" w:cs="方正仿宋简体"/>
          <w:color w:val="auto"/>
          <w:sz w:val="32"/>
          <w:lang w:eastAsia="zh-CN"/>
        </w:rPr>
        <w:t>”</w:t>
      </w:r>
      <w:r>
        <w:rPr>
          <w:rFonts w:hint="eastAsia" w:ascii="宋体" w:hAnsi="宋体" w:eastAsia="方正仿宋简体" w:cs="方正仿宋简体"/>
          <w:color w:val="auto"/>
          <w:sz w:val="32"/>
        </w:rPr>
        <w:t>要求落实被征地农民社会保障资金，专项用于被征地农民的基本养老保障，并按有关规定要求将符合条件的被征地农民纳入社会保障体系</w:t>
      </w:r>
      <w:r>
        <w:rPr>
          <w:rFonts w:hint="eastAsia" w:ascii="宋体" w:hAnsi="宋体" w:eastAsia="方正仿宋简体" w:cs="方正仿宋简体"/>
          <w:color w:val="auto"/>
          <w:sz w:val="32"/>
          <w:lang w:eastAsia="zh-CN"/>
        </w:rPr>
        <w:t>，</w:t>
      </w:r>
      <w:r>
        <w:rPr>
          <w:rFonts w:hint="eastAsia" w:ascii="宋体" w:hAnsi="宋体" w:eastAsia="方正仿宋简体" w:cs="方正仿宋简体"/>
          <w:color w:val="auto"/>
          <w:sz w:val="32"/>
        </w:rPr>
        <w:t>保证被征地农民原有生活水平不降低</w:t>
      </w:r>
      <w:r>
        <w:rPr>
          <w:rFonts w:hint="eastAsia" w:ascii="宋体" w:hAnsi="宋体" w:eastAsia="方正仿宋简体" w:cs="方正仿宋简体"/>
          <w:color w:val="auto"/>
          <w:sz w:val="32"/>
          <w:lang w:eastAsia="zh-CN"/>
        </w:rPr>
        <w:t>，</w:t>
      </w:r>
      <w:r>
        <w:rPr>
          <w:rFonts w:hint="eastAsia" w:ascii="宋体" w:hAnsi="宋体" w:eastAsia="方正仿宋简体" w:cs="方正仿宋简体"/>
          <w:color w:val="auto"/>
          <w:sz w:val="32"/>
        </w:rPr>
        <w:t>长远生计有保障。</w:t>
      </w:r>
    </w:p>
    <w:p>
      <w:pPr>
        <w:keepNext w:val="0"/>
        <w:keepLines w:val="0"/>
        <w:pageBreakBefore w:val="0"/>
        <w:widowControl w:val="0"/>
        <w:kinsoku/>
        <w:wordWrap/>
        <w:overflowPunct/>
        <w:topLinePunct w:val="0"/>
        <w:autoSpaceDE/>
        <w:autoSpaceDN/>
        <w:bidi w:val="0"/>
        <w:adjustRightInd/>
        <w:snapToGrid/>
        <w:spacing w:line="600" w:lineRule="exact"/>
        <w:ind w:right="1440" w:firstLine="640" w:firstLineChars="200"/>
        <w:jc w:val="right"/>
        <w:textAlignment w:val="auto"/>
        <w:rPr>
          <w:rFonts w:hint="eastAsia" w:ascii="宋体" w:hAnsi="宋体"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方正仿宋简体" w:cs="方正仿宋简体"/>
          <w:color w:val="auto"/>
          <w:sz w:val="32"/>
          <w:szCs w:val="32"/>
        </w:rPr>
      </w:pPr>
    </w:p>
    <w:p>
      <w:pPr>
        <w:keepNext w:val="0"/>
        <w:keepLines w:val="0"/>
        <w:pageBreakBefore w:val="0"/>
        <w:widowControl w:val="0"/>
        <w:kinsoku/>
        <w:wordWrap/>
        <w:overflowPunct/>
        <w:topLinePunct w:val="0"/>
        <w:autoSpaceDE/>
        <w:autoSpaceDN/>
        <w:bidi w:val="0"/>
        <w:adjustRightInd/>
        <w:spacing w:after="0" w:line="540" w:lineRule="exact"/>
        <w:ind w:firstLine="200"/>
        <w:jc w:val="center"/>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val="en-US" w:eastAsia="zh-CN"/>
        </w:rPr>
        <w:t xml:space="preserve">                         牟定</w:t>
      </w:r>
      <w:r>
        <w:rPr>
          <w:rFonts w:hint="eastAsia" w:ascii="宋体" w:hAnsi="宋体" w:eastAsia="方正仿宋简体" w:cs="方正仿宋简体"/>
          <w:color w:val="000000"/>
          <w:sz w:val="32"/>
          <w:szCs w:val="32"/>
          <w:lang w:eastAsia="zh-CN"/>
        </w:rPr>
        <w:t>县人民政府</w:t>
      </w:r>
    </w:p>
    <w:p>
      <w:pPr>
        <w:keepNext w:val="0"/>
        <w:keepLines w:val="0"/>
        <w:pageBreakBefore w:val="0"/>
        <w:widowControl w:val="0"/>
        <w:kinsoku/>
        <w:wordWrap/>
        <w:overflowPunct/>
        <w:topLinePunct w:val="0"/>
        <w:autoSpaceDE/>
        <w:autoSpaceDN/>
        <w:bidi w:val="0"/>
        <w:adjustRightInd/>
        <w:snapToGrid w:val="0"/>
        <w:spacing w:after="0" w:line="540" w:lineRule="exact"/>
        <w:ind w:left="115" w:leftChars="55" w:right="20" w:firstLine="640" w:firstLineChars="200"/>
        <w:jc w:val="both"/>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 xml:space="preserve">                             </w:t>
      </w:r>
      <w:r>
        <w:rPr>
          <w:rFonts w:hint="default" w:ascii="宋体" w:hAnsi="宋体" w:eastAsia="方正仿宋简体" w:cs="Times New Roman"/>
          <w:color w:val="000000"/>
          <w:sz w:val="32"/>
          <w:szCs w:val="32"/>
          <w:lang w:val="en-US" w:eastAsia="zh-CN"/>
        </w:rPr>
        <w:t>2023</w:t>
      </w:r>
      <w:r>
        <w:rPr>
          <w:rFonts w:hint="eastAsia" w:ascii="宋体" w:hAnsi="宋体" w:eastAsia="方正仿宋简体" w:cs="方正仿宋简体"/>
          <w:color w:val="000000"/>
          <w:sz w:val="32"/>
          <w:szCs w:val="32"/>
          <w:lang w:eastAsia="zh-CN"/>
        </w:rPr>
        <w:t>年</w:t>
      </w:r>
      <w:r>
        <w:rPr>
          <w:rFonts w:hint="default" w:ascii="宋体" w:hAnsi="宋体" w:eastAsia="方正仿宋简体" w:cs="Times New Roman"/>
          <w:color w:val="000000"/>
          <w:sz w:val="32"/>
          <w:szCs w:val="32"/>
          <w:lang w:val="en-US" w:eastAsia="zh-CN"/>
        </w:rPr>
        <w:t>3</w:t>
      </w:r>
      <w:r>
        <w:rPr>
          <w:rFonts w:hint="eastAsia" w:ascii="宋体" w:hAnsi="宋体" w:eastAsia="方正仿宋简体" w:cs="方正仿宋简体"/>
          <w:color w:val="000000"/>
          <w:sz w:val="32"/>
          <w:szCs w:val="32"/>
          <w:lang w:eastAsia="zh-CN"/>
        </w:rPr>
        <w:t>月</w:t>
      </w:r>
      <w:r>
        <w:rPr>
          <w:rFonts w:hint="eastAsia" w:ascii="宋体" w:hAnsi="宋体" w:eastAsia="方正仿宋简体" w:cs="Times New Roman"/>
          <w:color w:val="000000"/>
          <w:sz w:val="32"/>
          <w:szCs w:val="32"/>
          <w:lang w:val="en-US" w:eastAsia="zh-CN"/>
        </w:rPr>
        <w:t>30</w:t>
      </w:r>
      <w:r>
        <w:rPr>
          <w:rFonts w:hint="eastAsia" w:ascii="宋体" w:hAnsi="宋体" w:eastAsia="方正仿宋简体" w:cs="方正仿宋简体"/>
          <w:color w:val="000000"/>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宋体" w:hAnsi="宋体" w:eastAsia="方正仿宋简体" w:cs="方正仿宋简体"/>
          <w:color w:val="auto"/>
          <w:sz w:val="32"/>
          <w:szCs w:val="32"/>
        </w:rPr>
      </w:pPr>
    </w:p>
    <w:p>
      <w:pPr>
        <w:widowControl w:val="0"/>
        <w:wordWrap/>
        <w:snapToGrid/>
        <w:spacing w:line="560" w:lineRule="exact"/>
        <w:jc w:val="left"/>
        <w:textAlignment w:val="auto"/>
        <w:rPr>
          <w:rFonts w:hint="eastAsia" w:ascii="宋体" w:hAnsi="宋体" w:eastAsia="宋体" w:cs="宋体"/>
          <w:i w:val="0"/>
          <w:caps w:val="0"/>
          <w:color w:val="000000"/>
          <w:spacing w:val="0"/>
          <w:sz w:val="24"/>
          <w:szCs w:val="24"/>
          <w:shd w:val="clear" w:color="070000" w:fill="E6F4FF"/>
        </w:rPr>
      </w:pPr>
    </w:p>
    <w:p>
      <w:pPr>
        <w:widowControl w:val="0"/>
        <w:wordWrap/>
        <w:adjustRightInd/>
        <w:snapToGrid/>
        <w:spacing w:line="560" w:lineRule="exact"/>
        <w:ind w:firstLine="640" w:firstLineChars="200"/>
        <w:jc w:val="both"/>
        <w:textAlignment w:val="auto"/>
        <w:outlineLvl w:val="9"/>
        <w:rPr>
          <w:rFonts w:hint="eastAsia" w:ascii="仿宋" w:hAnsi="仿宋" w:eastAsia="仿宋"/>
          <w:color w:val="FF0000"/>
          <w:sz w:val="32"/>
          <w:highlight w:val="yellow"/>
          <w:lang w:val="en-US" w:eastAsia="zh-CN"/>
        </w:rPr>
      </w:pPr>
    </w:p>
    <w:sectPr>
      <w:pgSz w:w="11907" w:h="16839"/>
      <w:pgMar w:top="1701"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t">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MTVmYTdjM2IyZTNhYzM3NzgwMDZmODZkNzRiZTMifQ=="/>
  </w:docVars>
  <w:rsids>
    <w:rsidRoot w:val="00000000"/>
    <w:rsid w:val="029F3852"/>
    <w:rsid w:val="05960DE2"/>
    <w:rsid w:val="0FFA4AA3"/>
    <w:rsid w:val="166D13B9"/>
    <w:rsid w:val="16D10E90"/>
    <w:rsid w:val="17C92852"/>
    <w:rsid w:val="24DF4E26"/>
    <w:rsid w:val="29936D45"/>
    <w:rsid w:val="2F8829AE"/>
    <w:rsid w:val="34507EC4"/>
    <w:rsid w:val="35957DBF"/>
    <w:rsid w:val="35C50405"/>
    <w:rsid w:val="394538AA"/>
    <w:rsid w:val="39813B1B"/>
    <w:rsid w:val="3C583F31"/>
    <w:rsid w:val="5AC17303"/>
    <w:rsid w:val="5DEC4171"/>
    <w:rsid w:val="5EC06A26"/>
    <w:rsid w:val="650D106D"/>
    <w:rsid w:val="6A5E3F3F"/>
    <w:rsid w:val="769F29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unhideWhenUsed/>
    <w:qFormat/>
    <w:locked/>
    <w:uiPriority w:val="0"/>
    <w:pPr>
      <w:keepNext/>
      <w:keepLines/>
      <w:spacing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99"/>
    <w:pPr>
      <w:ind w:firstLine="420" w:firstLineChars="200"/>
    </w:pPr>
  </w:style>
  <w:style w:type="paragraph" w:customStyle="1" w:styleId="9">
    <w:name w:val="Default"/>
    <w:qFormat/>
    <w:uiPriority w:val="99"/>
    <w:pPr>
      <w:widowControl w:val="0"/>
      <w:autoSpaceDE w:val="0"/>
      <w:autoSpaceDN w:val="0"/>
      <w:adjustRightInd w:val="0"/>
    </w:pPr>
    <w:rPr>
      <w:rFonts w:ascii="方正小标宋t" w:hAnsi="Calibri" w:eastAsia="方正小标宋t" w:cs="方正小标宋t"/>
      <w:color w:val="000000"/>
      <w:sz w:val="24"/>
      <w:szCs w:val="24"/>
      <w:lang w:val="en-US" w:eastAsia="zh-CN" w:bidi="ar-SA"/>
    </w:rPr>
  </w:style>
  <w:style w:type="character" w:customStyle="1" w:styleId="10">
    <w:name w:val="日期 Char"/>
    <w:basedOn w:val="7"/>
    <w:link w:val="3"/>
    <w:semiHidden/>
    <w:qFormat/>
    <w:locked/>
    <w:uiPriority w:val="99"/>
    <w:rPr>
      <w:rFonts w:ascii="Calibri" w:hAnsi="Calibri" w:eastAsia="宋体" w:cs="Calibri"/>
      <w:kern w:val="2"/>
      <w:sz w:val="22"/>
      <w:szCs w:val="22"/>
    </w:rPr>
  </w:style>
  <w:style w:type="character" w:customStyle="1" w:styleId="11">
    <w:name w:val="页脚 Char"/>
    <w:basedOn w:val="7"/>
    <w:link w:val="4"/>
    <w:qFormat/>
    <w:locked/>
    <w:uiPriority w:val="99"/>
    <w:rPr>
      <w:sz w:val="18"/>
      <w:szCs w:val="18"/>
    </w:rPr>
  </w:style>
  <w:style w:type="character" w:customStyle="1" w:styleId="12">
    <w:name w:val="页眉 Char"/>
    <w:basedOn w:val="7"/>
    <w:link w:val="5"/>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yn</Company>
  <Pages>4</Pages>
  <Words>1705</Words>
  <Characters>1769</Characters>
  <Lines>6</Lines>
  <Paragraphs>1</Paragraphs>
  <TotalTime>1</TotalTime>
  <ScaleCrop>false</ScaleCrop>
  <LinksUpToDate>false</LinksUpToDate>
  <CharactersWithSpaces>1825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2021-09-09T01:14:00Z</dcterms:created>
  <dc:creator>sy</dc:creator>
  <cp:lastModifiedBy>user</cp:lastModifiedBy>
  <cp:lastPrinted>2021-09-14T02:03:00Z</cp:lastPrinted>
  <dcterms:modified xsi:type="dcterms:W3CDTF">2023-05-08T08:37:33Z</dcterms:modified>
  <dc:title>关于昆明（福德立交）至宜良高速公路（昆石复线）（官渡区段）建设项目征地补偿安置方案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D2BBADFDBBB44D72A95259A84071E4A6</vt:lpwstr>
  </property>
</Properties>
</file>