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  <w:t>牟定县关于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  <w:t>年本级汇总的一般公共预算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</w:rPr>
        <w:t>“三公经费”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  <w:t>预算安排情况说明</w:t>
      </w:r>
    </w:p>
    <w:bookmarkEnd w:id="0"/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ind w:left="0"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一、按照党中央、国务院有关文件及部门预算管理有关规定，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公用经费预算是根据不同标准分不同部门进行预算，包括办公费、印刷费、水电费、邮电费、差旅费、会议费、培训费、接待费、公务用运行维护费等。各预算单位根据本单位实际工作情况来安排“三公”经费预算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                                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ind w:left="0"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“三公”经费增减变化原因说明:牟定县2021年本级汇总的121个预算单位部门基本支出和项目预算“三公经费”预算安排454.12万元，比上年基本支出和项目预算“三公经费”预算466万元减少11.88万元，减少3%。其中：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ind w:left="0"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1）因公出国（境）费用0万元。 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ind w:left="0"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2）公务接待费182.12万元（其中：基本支出预算107.12万元、项目预算75万元），比上年183万元减少0.88万元，减少0.5%.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520" w:lineRule="exact"/>
        <w:ind w:left="0"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）公务用车购置及运行费272万元（其中：基本支出预算272万元、项目预算0万元），比上年283万元（基本支出预算262万元、项目预算21万元）减少11万元，减少4%。其中：公务公务用车购置费0万元，与上年无增减；公务用车运行费272万元，比上年283万元减少11万元，减少4%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5685"/>
    <w:rsid w:val="7D8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4">
    <w:name w:val="_Style 3"/>
    <w:next w:val="1"/>
    <w:qFormat/>
    <w:uiPriority w:val="0"/>
    <w:pPr>
      <w:wordWrap w:val="0"/>
      <w:spacing w:after="200" w:line="276" w:lineRule="auto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2021-12-15T12:23:00Z</dcterms:created>
  <dc:creator>Administrator</dc:creator>
  <cp:lastModifiedBy>Administrator</cp:lastModifiedBy>
  <dcterms:modified xsi:type="dcterms:W3CDTF">2021-12-15T12:24:19Z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